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ab/>
        <w:tab/>
        <w:tab/>
        <w:tab/>
        <w:tab/>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ΣΥΝΕΔΡΙΑΣΗ: </w:t>
      </w:r>
      <w:r>
        <w:rPr>
          <w:rFonts w:ascii="Arial" w:hAnsi="Arial" w:cs="Arial" w:eastAsia="Arial"/>
          <w:color w:val="auto"/>
          <w:spacing w:val="0"/>
          <w:position w:val="0"/>
          <w:sz w:val="24"/>
          <w:shd w:fill="auto" w:val="clear"/>
        </w:rPr>
        <w:t xml:space="preserve">Τακτική</w:t>
        <w:tab/>
        <w:tab/>
        <w:tab/>
        <w:tab/>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ΑΡ. ΠΡΟΣΚΛΗΣΗΣ:</w:t>
      </w:r>
      <w:r>
        <w:rPr>
          <w:rFonts w:ascii="Arial" w:hAnsi="Arial" w:cs="Arial" w:eastAsia="Arial"/>
          <w:color w:val="auto"/>
          <w:spacing w:val="0"/>
          <w:position w:val="0"/>
          <w:sz w:val="24"/>
          <w:shd w:fill="auto" w:val="clear"/>
        </w:rPr>
        <w:t xml:space="preserve"> 9</w:t>
      </w:r>
      <w:r>
        <w:rPr>
          <w:rFonts w:ascii="Arial" w:hAnsi="Arial" w:cs="Arial" w:eastAsia="Arial"/>
          <w:color w:val="auto"/>
          <w:spacing w:val="0"/>
          <w:position w:val="0"/>
          <w:sz w:val="24"/>
          <w:shd w:fill="auto" w:val="clear"/>
          <w:vertAlign w:val="superscript"/>
        </w:rPr>
        <w:t xml:space="preserve">η</w:t>
      </w:r>
      <w:r>
        <w:rPr>
          <w:rFonts w:ascii="Arial" w:hAnsi="Arial" w:cs="Arial" w:eastAsia="Arial"/>
          <w:color w:val="auto"/>
          <w:spacing w:val="0"/>
          <w:position w:val="0"/>
          <w:sz w:val="24"/>
          <w:shd w:fill="auto" w:val="clear"/>
        </w:rPr>
        <w:t xml:space="preserve">/2020</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ΑΡ. ΠΡΩΤ. : </w:t>
      </w:r>
      <w:r>
        <w:rPr>
          <w:rFonts w:ascii="Arial" w:hAnsi="Arial" w:cs="Arial" w:eastAsia="Arial"/>
          <w:color w:val="auto"/>
          <w:spacing w:val="0"/>
          <w:position w:val="0"/>
          <w:sz w:val="24"/>
          <w:shd w:fill="auto" w:val="clear"/>
        </w:rPr>
        <w:t xml:space="preserve">748</w:t>
      </w:r>
    </w:p>
    <w:p>
      <w:pPr>
        <w:widowControl w:val="false"/>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ΣΧΟΛΙΚΗ ΕΠΙΤΡΟΠΗ ΣΧΟΛΙΚΩΝ ΜΟΝΑΔΩΝ                                                             </w:t>
      </w:r>
    </w:p>
    <w:p>
      <w:pPr>
        <w:widowControl w:val="false"/>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ΠΡΩΤΟΒΑΘΜΙΑΣ ΕΚΠΑΙΔΕΥΣΗΣ</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ΔΗΜΟΥ ΔΙΟΝΥΣΟΥ</w:t>
      </w:r>
    </w:p>
    <w:p>
      <w:pPr>
        <w:widowControl w:val="false"/>
        <w:spacing w:before="0" w:after="0" w:line="240"/>
        <w:ind w:right="0" w:left="0" w:firstLine="0"/>
        <w:jc w:val="left"/>
        <w:rPr>
          <w:rFonts w:ascii="Arial" w:hAnsi="Arial" w:cs="Arial" w:eastAsia="Arial"/>
          <w:b/>
          <w:color w:val="auto"/>
          <w:spacing w:val="0"/>
          <w:position w:val="0"/>
          <w:sz w:val="24"/>
          <w:shd w:fill="auto" w:val="clear"/>
        </w:rPr>
      </w:pPr>
    </w:p>
    <w:p>
      <w:pPr>
        <w:widowControl w:val="false"/>
        <w:spacing w:before="0" w:after="0" w:line="240"/>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ΕΙΣΗΓΗΣΗ</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Θέμα 4: </w:t>
      </w:r>
      <w:r>
        <w:rPr>
          <w:rFonts w:ascii="Arial" w:hAnsi="Arial" w:cs="Arial" w:eastAsia="Arial"/>
          <w:color w:val="auto"/>
          <w:spacing w:val="0"/>
          <w:position w:val="0"/>
          <w:sz w:val="24"/>
          <w:shd w:fill="auto" w:val="clear"/>
        </w:rPr>
        <w:t xml:space="preserve">Έγκριση δαπάνης για εγκατάσταση συναγερμού στο 4</w:t>
      </w:r>
      <w:r>
        <w:rPr>
          <w:rFonts w:ascii="Arial" w:hAnsi="Arial" w:cs="Arial" w:eastAsia="Arial"/>
          <w:color w:val="auto"/>
          <w:spacing w:val="0"/>
          <w:position w:val="0"/>
          <w:sz w:val="24"/>
          <w:shd w:fill="auto" w:val="clear"/>
          <w:vertAlign w:val="superscript"/>
        </w:rPr>
        <w:t xml:space="preserve">ο</w:t>
      </w:r>
      <w:r>
        <w:rPr>
          <w:rFonts w:ascii="Arial" w:hAnsi="Arial" w:cs="Arial" w:eastAsia="Arial"/>
          <w:color w:val="auto"/>
          <w:spacing w:val="0"/>
          <w:position w:val="0"/>
          <w:sz w:val="24"/>
          <w:shd w:fill="auto" w:val="clear"/>
        </w:rPr>
        <w:t xml:space="preserve"> Δημοτικό Διονύσου.</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Έχοντας υπ’ όψιν:</w:t>
      </w:r>
    </w:p>
    <w:p>
      <w:pPr>
        <w:widowControl w:val="false"/>
        <w:spacing w:before="0" w:after="0" w:line="240"/>
        <w:ind w:right="0" w:left="0" w:firstLine="0"/>
        <w:jc w:val="left"/>
        <w:rPr>
          <w:rFonts w:ascii="Arial" w:hAnsi="Arial" w:cs="Arial" w:eastAsia="Arial"/>
          <w:color w:val="auto"/>
          <w:spacing w:val="0"/>
          <w:position w:val="0"/>
          <w:sz w:val="24"/>
          <w:shd w:fill="auto" w:val="clear"/>
        </w:rPr>
      </w:pPr>
    </w:p>
    <w:p>
      <w:pPr>
        <w:widowControl w:val="false"/>
        <w:numPr>
          <w:ilvl w:val="0"/>
          <w:numId w:val="7"/>
        </w:numPr>
        <w:spacing w:before="0" w:after="0" w:line="240"/>
        <w:ind w:right="0" w:left="780" w:hanging="36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2"/>
          <w:shd w:fill="auto" w:val="clear"/>
        </w:rPr>
        <w:t xml:space="preserve">Τις διατάξεις του</w:t>
      </w:r>
      <w:r>
        <w:rPr>
          <w:rFonts w:ascii="Arial" w:hAnsi="Arial" w:cs="Arial" w:eastAsia="Arial"/>
          <w:color w:val="auto"/>
          <w:spacing w:val="0"/>
          <w:position w:val="0"/>
          <w:sz w:val="22"/>
          <w:shd w:fill="auto" w:val="clear"/>
        </w:rPr>
        <w:t xml:space="preserve">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άρθρου 103 παρ. 2 του ν. 3852/2010</w:t>
        </w:r>
      </w:hyperlink>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και του</w:t>
      </w:r>
      <w:hyperlink xmlns:r="http://schemas.openxmlformats.org/officeDocument/2006/relationships" r:id="docRId1">
        <w:r>
          <w:rPr>
            <w:rFonts w:ascii="Arial" w:hAnsi="Arial" w:cs="Arial" w:eastAsia="Arial"/>
            <w:color w:val="0000FF"/>
            <w:spacing w:val="0"/>
            <w:position w:val="0"/>
            <w:sz w:val="22"/>
            <w:u w:val="single"/>
            <w:shd w:fill="auto" w:val="clear"/>
          </w:rPr>
          <w:t xml:space="preserve"> </w:t>
        </w:r>
        <w:r>
          <w:rPr>
            <w:rFonts w:ascii="Arial" w:hAnsi="Arial" w:cs="Arial" w:eastAsia="Arial"/>
            <w:vanish/>
            <w:color w:val="0000FF"/>
            <w:spacing w:val="0"/>
            <w:position w:val="0"/>
            <w:sz w:val="22"/>
            <w:u w:val="single"/>
            <w:shd w:fill="auto" w:val="clear"/>
          </w:rPr>
          <w:t xml:space="preserve">HYPERLINK "https://dimosnet.gr/blog/laws/αρθρο-240-διοίκηση-νομικών-προσώπων-δημ/"</w:t>
        </w:r>
        <w:r>
          <w:rPr>
            <w:rFonts w:ascii="Arial" w:hAnsi="Arial" w:cs="Arial" w:eastAsia="Arial"/>
            <w:color w:val="0000FF"/>
            <w:spacing w:val="0"/>
            <w:position w:val="0"/>
            <w:sz w:val="22"/>
            <w:u w:val="single"/>
            <w:shd w:fill="auto" w:val="clear"/>
          </w:rPr>
          <w:t xml:space="preserve">άρθρου 240 του Κώδικα Δήμων και Κοινοτήτων</w:t>
        </w:r>
      </w:hyperlink>
      <w:r>
        <w:rPr>
          <w:rFonts w:ascii="Arial" w:hAnsi="Arial" w:cs="Arial" w:eastAsia="Arial"/>
          <w:color w:val="auto"/>
          <w:spacing w:val="0"/>
          <w:position w:val="0"/>
          <w:sz w:val="22"/>
          <w:shd w:fill="auto" w:val="clear"/>
        </w:rPr>
        <w:t xml:space="preserve">.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παρ.1 του</w:t>
        </w:r>
        <w:r>
          <w:rPr>
            <w:rFonts w:ascii="Arial" w:hAnsi="Arial" w:cs="Arial" w:eastAsia="Arial"/>
            <w:vanish/>
            <w:color w:val="0000FF"/>
            <w:spacing w:val="0"/>
            <w:position w:val="0"/>
            <w:sz w:val="22"/>
            <w:u w:val="single"/>
            <w:shd w:fill="auto" w:val="clear"/>
          </w:rPr>
          <w:t xml:space="preserve">HYPERLINK "https://dimosnet.gr/blog/laws/απόφαση-υπ-εσ-αη-δ-844024-02-2011-φεκ-31825-02-2011-τεύχος-β/"</w:t>
        </w:r>
        <w:r>
          <w:rPr>
            <w:rFonts w:ascii="Arial" w:hAnsi="Arial" w:cs="Arial" w:eastAsia="Arial"/>
            <w:color w:val="0000FF"/>
            <w:spacing w:val="0"/>
            <w:position w:val="0"/>
            <w:sz w:val="22"/>
            <w:u w:val="single"/>
            <w:shd w:fill="auto" w:val="clear"/>
          </w:rPr>
          <w:t xml:space="preserve"> </w:t>
        </w:r>
        <w:r>
          <w:rPr>
            <w:rFonts w:ascii="Arial" w:hAnsi="Arial" w:cs="Arial" w:eastAsia="Arial"/>
            <w:vanish/>
            <w:color w:val="0000FF"/>
            <w:spacing w:val="0"/>
            <w:position w:val="0"/>
            <w:sz w:val="22"/>
            <w:u w:val="single"/>
            <w:shd w:fill="auto" w:val="clear"/>
          </w:rPr>
          <w:t xml:space="preserve">HYPERLINK "https://dimosnet.gr/blog/laws/απόφαση-υπ-εσ-αη-δ-844024-02-2011-φεκ-31825-02-2011-τεύχος-β/"</w:t>
        </w:r>
        <w:r>
          <w:rPr>
            <w:rFonts w:ascii="Arial" w:hAnsi="Arial" w:cs="Arial" w:eastAsia="Arial"/>
            <w:color w:val="0000FF"/>
            <w:spacing w:val="0"/>
            <w:position w:val="0"/>
            <w:sz w:val="22"/>
            <w:u w:val="single"/>
            <w:shd w:fill="auto" w:val="clear"/>
          </w:rPr>
          <w:t xml:space="preserve">άρθρου 1 της απόφασης ΥΠΕΣΑΗΔ 8440/24.02.2011 (ΦΕΚ 318/25.02.2011 τεύχος Β</w:t>
        </w:r>
        <w:r>
          <w:rPr>
            <w:rFonts w:ascii="Arial" w:hAnsi="Arial" w:cs="Arial" w:eastAsia="Arial"/>
            <w:vanish/>
            <w:color w:val="0000FF"/>
            <w:spacing w:val="0"/>
            <w:position w:val="0"/>
            <w:sz w:val="22"/>
            <w:u w:val="single"/>
            <w:shd w:fill="auto" w:val="clear"/>
          </w:rPr>
          <w:t xml:space="preserve">HYPERLINK "https://dimosnet.gr/blog/laws/απόφαση-υπ-εσ-αη-δ-844024-02-2011-φεκ-31825-02-2011-τεύχος-β/"</w:t>
        </w:r>
        <w:r>
          <w:rPr>
            <w:rFonts w:ascii="Arial" w:hAnsi="Arial" w:cs="Arial" w:eastAsia="Arial"/>
            <w:color w:val="0000FF"/>
            <w:spacing w:val="0"/>
            <w:position w:val="0"/>
            <w:sz w:val="22"/>
            <w:u w:val="single"/>
            <w:shd w:fill="auto" w:val="clear"/>
          </w:rPr>
          <w:t xml:space="preserve">'</w:t>
        </w:r>
      </w:hyperlink>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όπως αντικαταστάθηκε από την</w:t>
      </w:r>
      <w:r>
        <w:rPr>
          <w:rFonts w:ascii="Arial" w:hAnsi="Arial" w:cs="Arial" w:eastAsia="Arial"/>
          <w:color w:val="auto"/>
          <w:spacing w:val="0"/>
          <w:position w:val="0"/>
          <w:sz w:val="22"/>
          <w:shd w:fill="auto" w:val="clear"/>
        </w:rPr>
        <w:t xml:space="preserve"> </w:t>
      </w:r>
      <w:hyperlink xmlns:r="http://schemas.openxmlformats.org/officeDocument/2006/relationships" r:id="docRId3">
        <w:r>
          <w:rPr>
            <w:rFonts w:ascii="Arial" w:hAnsi="Arial" w:cs="Arial" w:eastAsia="Arial"/>
            <w:color w:val="0000FF"/>
            <w:spacing w:val="0"/>
            <w:position w:val="0"/>
            <w:sz w:val="22"/>
            <w:u w:val="single"/>
            <w:shd w:fill="auto" w:val="clear"/>
          </w:rPr>
          <w:t xml:space="preserve">παρ.1 του άρθρου 1 της απόφασης ΥΠ.ΕΣ. 1940/19.01.2018 (ΦΕΚ 310/02.02.2018 τεύχος Β</w:t>
        </w:r>
      </w:hyperlink>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και αντικαταστάθηκε εκ νέου με την περίπτωση α' του άρθρου 1 της</w:t>
      </w:r>
      <w:r>
        <w:rPr>
          <w:rFonts w:ascii="Arial" w:hAnsi="Arial" w:cs="Arial" w:eastAsia="Arial"/>
          <w:color w:val="auto"/>
          <w:spacing w:val="0"/>
          <w:position w:val="0"/>
          <w:sz w:val="22"/>
          <w:shd w:fill="auto" w:val="clear"/>
        </w:rPr>
        <w:t xml:space="preserve"> </w:t>
      </w:r>
      <w:hyperlink xmlns:r="http://schemas.openxmlformats.org/officeDocument/2006/relationships" r:id="docRId4">
        <w:r>
          <w:rPr>
            <w:rFonts w:ascii="Arial" w:hAnsi="Arial" w:cs="Arial" w:eastAsia="Arial"/>
            <w:color w:val="0000FF"/>
            <w:spacing w:val="0"/>
            <w:position w:val="0"/>
            <w:sz w:val="22"/>
            <w:u w:val="single"/>
            <w:shd w:fill="auto" w:val="clear"/>
          </w:rPr>
          <w:t xml:space="preserve">απόφασης ΥΠ.ΕΣ. 63967/13.09.2019 (ΦΕΚ 3537/20.09.2019 τεύχος </w:t>
        </w:r>
        <w:r>
          <w:rPr>
            <w:rFonts w:ascii="Arial" w:hAnsi="Arial" w:cs="Arial" w:eastAsia="Arial"/>
            <w:vanish/>
            <w:color w:val="0000FF"/>
            <w:spacing w:val="0"/>
            <w:position w:val="0"/>
            <w:sz w:val="22"/>
            <w:u w:val="single"/>
            <w:shd w:fill="auto" w:val="clear"/>
          </w:rPr>
          <w:t xml:space="preserve">HYPERLINK "https://dimosnet.gr/blog/laws/294124/"</w:t>
        </w:r>
        <w:r>
          <w:rPr>
            <w:rFonts w:ascii="Arial" w:hAnsi="Arial" w:cs="Arial" w:eastAsia="Arial"/>
            <w:color w:val="0000FF"/>
            <w:spacing w:val="0"/>
            <w:position w:val="0"/>
            <w:sz w:val="22"/>
            <w:u w:val="single"/>
            <w:shd w:fill="auto" w:val="clear"/>
          </w:rPr>
          <w:t xml:space="preserve">B</w:t>
        </w:r>
        <w:r>
          <w:rPr>
            <w:rFonts w:ascii="Arial" w:hAnsi="Arial" w:cs="Arial" w:eastAsia="Arial"/>
            <w:vanish/>
            <w:color w:val="0000FF"/>
            <w:spacing w:val="0"/>
            <w:position w:val="0"/>
            <w:sz w:val="22"/>
            <w:u w:val="single"/>
            <w:shd w:fill="auto" w:val="clear"/>
          </w:rPr>
          <w:t xml:space="preserve">HYPERLINK "https://dimosnet.gr/blog/laws/294124/"</w:t>
        </w:r>
        <w:r>
          <w:rPr>
            <w:rFonts w:ascii="Arial" w:hAnsi="Arial" w:cs="Arial" w:eastAsia="Arial"/>
            <w:color w:val="0000FF"/>
            <w:spacing w:val="0"/>
            <w:position w:val="0"/>
            <w:sz w:val="22"/>
            <w:u w:val="single"/>
            <w:shd w:fill="auto" w:val="clear"/>
          </w:rPr>
          <w:t xml:space="preserve">’</w:t>
        </w:r>
      </w:hyperlink>
      <w:r>
        <w:rPr>
          <w:rFonts w:ascii="Arial" w:hAnsi="Arial" w:cs="Arial" w:eastAsia="Arial"/>
          <w:color w:val="auto"/>
          <w:spacing w:val="0"/>
          <w:position w:val="0"/>
          <w:sz w:val="22"/>
          <w:shd w:fill="auto" w:val="clear"/>
        </w:rPr>
        <w:t xml:space="preserve">).</w:t>
      </w:r>
    </w:p>
    <w:p>
      <w:pPr>
        <w:widowControl w:val="false"/>
        <w:numPr>
          <w:ilvl w:val="0"/>
          <w:numId w:val="7"/>
        </w:numPr>
        <w:spacing w:before="0" w:after="200" w:line="240"/>
        <w:ind w:right="0" w:left="78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Ν. 3463/2006 (ΦΕΚ Α114/20060)</w:t>
      </w:r>
    </w:p>
    <w:p>
      <w:pPr>
        <w:widowControl w:val="false"/>
        <w:numPr>
          <w:ilvl w:val="0"/>
          <w:numId w:val="7"/>
        </w:numPr>
        <w:spacing w:before="0" w:after="200" w:line="240"/>
        <w:ind w:right="0" w:left="78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Άρθρα 67, παρ.4 και 75, παρ. 6 του ν. 3852/2010</w:t>
      </w:r>
    </w:p>
    <w:p>
      <w:pPr>
        <w:widowControl w:val="false"/>
        <w:numPr>
          <w:ilvl w:val="0"/>
          <w:numId w:val="7"/>
        </w:numPr>
        <w:spacing w:before="0" w:after="200" w:line="240"/>
        <w:ind w:right="0" w:left="78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Αρθρο 67, παρ 7 του ν. 3852/2010</w:t>
      </w:r>
    </w:p>
    <w:p>
      <w:pPr>
        <w:widowControl w:val="false"/>
        <w:numPr>
          <w:ilvl w:val="0"/>
          <w:numId w:val="7"/>
        </w:numPr>
        <w:spacing w:before="0" w:after="200" w:line="240"/>
        <w:ind w:right="0" w:left="78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Αρθρο 67, παρ 7 του ν. 3852/2010</w:t>
      </w:r>
    </w:p>
    <w:p>
      <w:pPr>
        <w:widowControl w:val="false"/>
        <w:numPr>
          <w:ilvl w:val="0"/>
          <w:numId w:val="7"/>
        </w:numPr>
        <w:spacing w:before="0" w:after="0" w:line="240"/>
        <w:ind w:right="0" w:left="780" w:hanging="360"/>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4A474B"/>
          <w:spacing w:val="0"/>
          <w:position w:val="0"/>
          <w:sz w:val="22"/>
          <w:shd w:fill="FFFFFF" w:val="clear"/>
        </w:rPr>
        <w:t xml:space="preserve">ην υπ’ αριθμ. 13172/17-3-95 κοινή απόφαση Υπουργών Εσωτερικών και Παιδείας, την εκτέλεση έργων επισκευής και συντήρησης σχολικών κτιρίων</w:t>
      </w:r>
    </w:p>
    <w:p>
      <w:pPr>
        <w:widowControl w:val="false"/>
        <w:numPr>
          <w:ilvl w:val="0"/>
          <w:numId w:val="7"/>
        </w:numPr>
        <w:spacing w:before="0" w:after="0" w:line="240"/>
        <w:ind w:right="0" w:left="780" w:hanging="360"/>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4A474B"/>
          <w:spacing w:val="0"/>
          <w:position w:val="0"/>
          <w:sz w:val="22"/>
          <w:shd w:fill="FFFFFF" w:val="clear"/>
        </w:rPr>
        <w:t xml:space="preserve">Το αίτημα του Διευθυντή (αρ. πρωτ.Σχ.Επ.503/2020)</w:t>
      </w:r>
    </w:p>
    <w:p>
      <w:pPr>
        <w:widowControl w:val="false"/>
        <w:numPr>
          <w:ilvl w:val="0"/>
          <w:numId w:val="7"/>
        </w:numPr>
        <w:spacing w:before="0" w:after="0" w:line="240"/>
        <w:ind w:right="0" w:left="780" w:hanging="360"/>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4A474B"/>
          <w:spacing w:val="0"/>
          <w:position w:val="0"/>
          <w:sz w:val="22"/>
          <w:shd w:fill="FFFFFF" w:val="clear"/>
        </w:rPr>
        <w:t xml:space="preserve">Προσφορές από τις Εταιρείες UNION SECURITY KAI TSEKOYRAS SECURITY</w:t>
      </w:r>
    </w:p>
    <w:p>
      <w:pPr>
        <w:widowControl w:val="false"/>
        <w:numPr>
          <w:ilvl w:val="0"/>
          <w:numId w:val="7"/>
        </w:numPr>
        <w:spacing w:before="0" w:after="0" w:line="240"/>
        <w:ind w:right="0" w:left="780" w:hanging="360"/>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4A474B"/>
          <w:spacing w:val="0"/>
          <w:position w:val="0"/>
          <w:sz w:val="22"/>
          <w:shd w:fill="FFFFFF" w:val="clear"/>
        </w:rPr>
        <w:t xml:space="preserve">Το </w:t>
      </w:r>
      <w:r>
        <w:rPr>
          <w:rFonts w:ascii="Arial" w:hAnsi="Arial" w:cs="Arial" w:eastAsia="Arial"/>
          <w:color w:val="4A474B"/>
          <w:spacing w:val="0"/>
          <w:position w:val="0"/>
          <w:sz w:val="22"/>
          <w:shd w:fill="FFFFFF" w:val="clear"/>
        </w:rPr>
        <w:t xml:space="preserve">email </w:t>
      </w:r>
      <w:r>
        <w:rPr>
          <w:rFonts w:ascii="Arial" w:hAnsi="Arial" w:cs="Arial" w:eastAsia="Arial"/>
          <w:color w:val="4A474B"/>
          <w:spacing w:val="0"/>
          <w:position w:val="0"/>
          <w:sz w:val="22"/>
          <w:shd w:fill="FFFFFF" w:val="clear"/>
        </w:rPr>
        <w:t xml:space="preserve">του διευθυντή με αρ. Πρωτ. 749</w:t>
      </w:r>
    </w:p>
    <w:p>
      <w:pPr>
        <w:widowControl w:val="false"/>
        <w:spacing w:before="0" w:after="0" w:line="240"/>
        <w:ind w:right="0" w:left="78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200" w:line="240"/>
        <w:ind w:right="0" w:left="0" w:firstLine="0"/>
        <w:jc w:val="both"/>
        <w:rPr>
          <w:rFonts w:ascii="Arial" w:hAnsi="Arial" w:cs="Arial" w:eastAsia="Arial"/>
          <w:color w:val="auto"/>
          <w:spacing w:val="0"/>
          <w:position w:val="0"/>
          <w:sz w:val="22"/>
          <w:shd w:fill="auto" w:val="clear"/>
        </w:rPr>
      </w:pPr>
    </w:p>
    <w:p>
      <w:pPr>
        <w:widowControl w:val="fals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Μετά την απόφαση του ΔΣ (συνεδρίαση 5η/2020) για τοποθέτηση συστήματος συναγερμού σε όλο το κτίριο του 4ου Δημοτικού Διονύσου, και μετά από ενημέρωση απο τον διευθυντή του Σχολείου για τη μη ανταπόκριση της Εταιρείας Τσεκούρας, εισηγούμαι θετικά στην προσφορά της Εταιρείας </w:t>
      </w:r>
      <w:r>
        <w:rPr>
          <w:rFonts w:ascii="Arial" w:hAnsi="Arial" w:cs="Arial" w:eastAsia="Arial"/>
          <w:color w:val="auto"/>
          <w:spacing w:val="0"/>
          <w:position w:val="0"/>
          <w:sz w:val="22"/>
          <w:shd w:fill="auto" w:val="clear"/>
        </w:rPr>
        <w:t xml:space="preserve">UNION security</w:t>
      </w:r>
      <w:r>
        <w:rPr>
          <w:rFonts w:ascii="Arial" w:hAnsi="Arial" w:cs="Arial" w:eastAsia="Arial"/>
          <w:color w:val="auto"/>
          <w:spacing w:val="0"/>
          <w:position w:val="0"/>
          <w:sz w:val="22"/>
          <w:shd w:fill="auto" w:val="clear"/>
        </w:rPr>
        <w:t xml:space="preserve">. Η δαπάνη ανέρχεται στα 2.479,00</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 και επιπλέον 9</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/μήνα δηλαδή 18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χρόνο.</w:t>
      </w:r>
    </w:p>
    <w:p>
      <w:pPr>
        <w:widowControl w:val="false"/>
        <w:spacing w:before="0" w:after="0" w:line="240"/>
        <w:ind w:right="0" w:left="0" w:firstLine="0"/>
        <w:jc w:val="left"/>
        <w:rPr>
          <w:rFonts w:ascii="Arial" w:hAnsi="Arial" w:cs="Arial" w:eastAsia="Arial"/>
          <w:color w:val="444444"/>
          <w:spacing w:val="0"/>
          <w:position w:val="0"/>
          <w:sz w:val="21"/>
          <w:shd w:fill="FFFFFF"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Πρόεδρος</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Τόκα Αλεξάνδρα</w:t>
      </w:r>
    </w:p>
  </w:body>
</w:document>
</file>

<file path=word/numbering.xml><?xml version="1.0" encoding="utf-8"?>
<w:numbering xmlns:w="http://schemas.openxmlformats.org/wordprocessingml/2006/main">
  <w:abstractNum w:abstractNumId="0">
    <w:lvl w:ilvl="0">
      <w:start w:val="1"/>
      <w:numFmt w:val="bullet"/>
      <w:lvlText w:val="•"/>
    </w:lvl>
  </w:abstractNum>
  <w:num w:numId="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dimosnet.gr/blog/laws/&#945;&#961;&#952;&#961;&#959;-240-&#948;&#953;&#959;&#943;&#954;&#951;&#963;&#951;-&#957;&#959;&#956;&#953;&#954;&#974;&#957;-&#960;&#961;&#959;&#963;&#974;&#960;&#969;&#957;-&#948;&#951;&#956;/" Id="docRId1" Type="http://schemas.openxmlformats.org/officeDocument/2006/relationships/hyperlink"/><Relationship TargetMode="External" Target="http://dimosnet.gr/blog/laws/&#945;&#960;&#972;&#966;&#945;&#963;&#951;-&#965;&#960;-&#949;&#963;-194019-01-2018-&#966;&#949;&#954;-31002-02-2018-&#964;&#949;&#973;&#967;&#959;&#962;-&#946;/" Id="docRId3" Type="http://schemas.openxmlformats.org/officeDocument/2006/relationships/hyperlink"/><Relationship Target="numbering.xml" Id="docRId5" Type="http://schemas.openxmlformats.org/officeDocument/2006/relationships/numbering"/><Relationship TargetMode="External" Target="https://dimosnet.gr/blog/laws/&#945;&#961;&#952;&#961;&#959;-103-&#963;&#973;&#963;&#964;&#945;&#963;&#951;-&#963;&#965;&#947;&#967;&#974;&#957;&#949;&#965;&#963;&#951;-&#957;&#959;&#956;&#953;&#954;&#974;&#957;-&#960;&#961;/" Id="docRId0" Type="http://schemas.openxmlformats.org/officeDocument/2006/relationships/hyperlink"/><Relationship TargetMode="External" Target="https://dimosnet.gr/blog/laws/&#945;&#960;&#972;&#966;&#945;&#963;&#951;-&#965;&#960;-&#949;&#963;-&#945;&#951;-&#948;-844024-02-2011-&#966;&#949;&#954;-31825-02-2011-&#964;&#949;&#973;&#967;&#959;&#962;-&#946;/" Id="docRId2" Type="http://schemas.openxmlformats.org/officeDocument/2006/relationships/hyperlink"/><Relationship TargetMode="External" Target="https://dimosnet.gr/blog/laws/294124/" Id="docRId4" Type="http://schemas.openxmlformats.org/officeDocument/2006/relationships/hyperlink"/><Relationship Target="styles.xml" Id="docRId6" Type="http://schemas.openxmlformats.org/officeDocument/2006/relationships/styles"/></Relationships>
</file>