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60" w:rsidRDefault="00BA5D60" w:rsidP="00BA5D60">
      <w:pPr>
        <w:pStyle w:val="2"/>
        <w:tabs>
          <w:tab w:val="left" w:pos="0"/>
        </w:tabs>
        <w:spacing w:before="57" w:after="57"/>
        <w:rPr>
          <w:rFonts w:ascii="Calibri" w:eastAsia="Calibri" w:hAnsi="Calibri" w:cs="Calibri"/>
          <w:b/>
          <w:color w:val="002060"/>
          <w:sz w:val="22"/>
          <w:szCs w:val="22"/>
          <w:u w:val="single"/>
        </w:rPr>
      </w:pPr>
      <w:r w:rsidRPr="009767D5">
        <w:rPr>
          <w:rFonts w:ascii="Calibri" w:eastAsia="Calibri" w:hAnsi="Calibri" w:cs="Calibri"/>
          <w:b/>
          <w:color w:val="002060"/>
          <w:sz w:val="22"/>
          <w:szCs w:val="22"/>
          <w:u w:val="single"/>
        </w:rPr>
        <w:t xml:space="preserve">ΠΑΡΑΡΤΗΜΑ ΙΙΙ  </w:t>
      </w:r>
      <w:r>
        <w:rPr>
          <w:rFonts w:ascii="Calibri" w:eastAsia="Calibri" w:hAnsi="Calibri" w:cs="Calibri"/>
          <w:b/>
          <w:color w:val="002060"/>
          <w:sz w:val="22"/>
          <w:szCs w:val="22"/>
          <w:u w:val="single"/>
        </w:rPr>
        <w:t xml:space="preserve">ΕΝΤΥΠΟ ΟΙΚΟΝΟΜΙΚΗΣ ΠΡΟΣΦΟΡΑΣ  Γ3 .ΕΝΤΥΠΟ ΟΙΚΟΝΟΜΙΚΗΣ ΠΡΟΣΦΟΡΑΣ ΤΗΣ ΥΠ ΑΡΙΘ 10/2022 ΜΕΛΕΤΗΣ </w:t>
      </w:r>
    </w:p>
    <w:p w:rsidR="00BA5D60" w:rsidRDefault="00BA5D60" w:rsidP="00BA5D60">
      <w:pPr>
        <w:pStyle w:val="2"/>
        <w:tabs>
          <w:tab w:val="left" w:pos="0"/>
        </w:tabs>
        <w:spacing w:before="57" w:after="57"/>
        <w:rPr>
          <w:rFonts w:ascii="Calibri" w:eastAsia="Calibri" w:hAnsi="Calibri" w:cs="Calibri"/>
          <w:b/>
          <w:color w:val="002060"/>
          <w:sz w:val="22"/>
          <w:szCs w:val="22"/>
          <w:u w:val="single"/>
        </w:rPr>
      </w:pPr>
    </w:p>
    <w:p w:rsidR="00BA5D60" w:rsidRDefault="00BA5D60" w:rsidP="00BA5D60">
      <w:pPr>
        <w:pStyle w:val="2"/>
        <w:tabs>
          <w:tab w:val="left" w:pos="0"/>
        </w:tabs>
        <w:spacing w:before="57" w:after="57"/>
        <w:rPr>
          <w:rFonts w:ascii="Calibri" w:eastAsia="Calibri" w:hAnsi="Calibri" w:cs="Calibri"/>
          <w:b/>
          <w:color w:val="002060"/>
          <w:sz w:val="22"/>
          <w:szCs w:val="22"/>
          <w:u w:val="single"/>
        </w:rPr>
      </w:pPr>
    </w:p>
    <w:p w:rsidR="00BA5D60" w:rsidRDefault="00BA5D60" w:rsidP="00BA5D60">
      <w:pPr>
        <w:spacing w:line="260" w:lineRule="exact"/>
        <w:ind w:left="540"/>
        <w:jc w:val="center"/>
        <w:rPr>
          <w:u w:val="single"/>
        </w:rPr>
      </w:pPr>
      <w:r>
        <w:rPr>
          <w:rStyle w:val="1"/>
          <w:color w:val="00000A"/>
          <w:u w:val="single"/>
        </w:rPr>
        <w:t>Γ3. ΕΝΤΥΠΟ ΟΙΚΟΝΟΜΙΚΗΣ ΠΡΟΣΦΟΡΑΣ</w:t>
      </w:r>
    </w:p>
    <w:p w:rsidR="00BA5D60" w:rsidRDefault="00BA5D60" w:rsidP="00BA5D60">
      <w:pPr>
        <w:pStyle w:val="20"/>
        <w:shd w:val="clear" w:color="auto" w:fill="auto"/>
        <w:spacing w:line="293" w:lineRule="exact"/>
        <w:ind w:left="540" w:right="560" w:firstLine="0"/>
        <w:jc w:val="both"/>
        <w:rPr>
          <w:sz w:val="22"/>
          <w:szCs w:val="22"/>
        </w:rPr>
      </w:pPr>
    </w:p>
    <w:p w:rsidR="00BA5D60" w:rsidRDefault="00BA5D60" w:rsidP="00BA5D60">
      <w:pPr>
        <w:pStyle w:val="20"/>
        <w:shd w:val="clear" w:color="auto" w:fill="auto"/>
        <w:spacing w:line="293" w:lineRule="exact"/>
        <w:ind w:left="540" w:right="560" w:firstLine="0"/>
        <w:jc w:val="both"/>
        <w:rPr>
          <w:sz w:val="22"/>
          <w:szCs w:val="22"/>
        </w:rPr>
      </w:pPr>
      <w:r>
        <w:rPr>
          <w:sz w:val="22"/>
          <w:szCs w:val="22"/>
        </w:rPr>
        <w:t xml:space="preserve">Αφού έλαβα γνώση της Διακήρυξης «Ενεργειακή Αναβάθμιση - Αυτοματοποίηση του Συστήματος Ηλεκτροφωτισμού Κοινοχρήστων Χώρων και εφαρμογές </w:t>
      </w:r>
      <w:proofErr w:type="spellStart"/>
      <w:r>
        <w:rPr>
          <w:sz w:val="22"/>
          <w:szCs w:val="22"/>
          <w:lang w:val="en-US" w:eastAsia="en-US" w:bidi="en-US"/>
        </w:rPr>
        <w:t>SmartCities</w:t>
      </w:r>
      <w:proofErr w:type="spellEnd"/>
      <w:r>
        <w:rPr>
          <w:sz w:val="22"/>
          <w:szCs w:val="22"/>
          <w:lang w:eastAsia="en-US" w:bidi="en-US"/>
        </w:rPr>
        <w:t xml:space="preserve">, </w:t>
      </w:r>
      <w:r>
        <w:rPr>
          <w:sz w:val="22"/>
          <w:szCs w:val="22"/>
        </w:rPr>
        <w:t>με εξοικονόμηση ενέργειας, στο Δήμο Διονύσου» υποβάλλω την παρούσα προσφορά και δηλώνω ότι αποδέχομαι πλήρως και χωρίς επιφύλαξη τα αναφερόμενα στα Συμβατικά Τεύχη και αναλαμβάνω την εκτέλεση του αντικειμένου της παρούσας με τους παρακάτω όρους:</w:t>
      </w:r>
    </w:p>
    <w:p w:rsidR="00BA5D60" w:rsidRDefault="00BA5D60" w:rsidP="00BA5D60">
      <w:pPr>
        <w:spacing w:line="220" w:lineRule="exact"/>
        <w:ind w:left="540"/>
      </w:pPr>
    </w:p>
    <w:p w:rsidR="00BA5D60" w:rsidRDefault="00BA5D60" w:rsidP="00BA5D60">
      <w:pPr>
        <w:pStyle w:val="20"/>
        <w:shd w:val="clear" w:color="auto" w:fill="auto"/>
        <w:spacing w:line="210" w:lineRule="exact"/>
        <w:ind w:firstLine="0"/>
        <w:rPr>
          <w:sz w:val="22"/>
          <w:szCs w:val="22"/>
        </w:rPr>
      </w:pPr>
    </w:p>
    <w:p w:rsidR="00BA5D60" w:rsidRDefault="00BA5D60" w:rsidP="00BA5D60">
      <w:pPr>
        <w:pStyle w:val="20"/>
        <w:shd w:val="clear" w:color="auto" w:fill="auto"/>
        <w:spacing w:line="210" w:lineRule="exact"/>
        <w:ind w:firstLine="0"/>
        <w:jc w:val="center"/>
        <w:rPr>
          <w:sz w:val="22"/>
          <w:szCs w:val="22"/>
        </w:rPr>
      </w:pPr>
    </w:p>
    <w:p w:rsidR="00BA5D60" w:rsidRDefault="00BA5D60" w:rsidP="00BA5D60">
      <w:pPr>
        <w:contextualSpacing/>
        <w:jc w:val="center"/>
        <w:rPr>
          <w:rFonts w:cstheme="minorHAnsi"/>
          <w:b/>
          <w:i/>
          <w:u w:val="single"/>
        </w:rPr>
      </w:pPr>
      <w:r>
        <w:rPr>
          <w:rFonts w:cstheme="minorHAnsi"/>
          <w:b/>
          <w:i/>
          <w:u w:val="single"/>
        </w:rPr>
        <w:t>ΠΡΟΣΦΟΡΑ ΑΝΑΔΟΧΟΥ</w:t>
      </w:r>
    </w:p>
    <w:p w:rsidR="00BA5D60" w:rsidRDefault="00BA5D60" w:rsidP="00BA5D60">
      <w:pPr>
        <w:widowControl w:val="0"/>
        <w:spacing w:after="120"/>
        <w:contextualSpacing/>
        <w:jc w:val="center"/>
        <w:rPr>
          <w:rFonts w:cstheme="minorHAnsi"/>
          <w:b/>
        </w:rPr>
      </w:pPr>
    </w:p>
    <w:p w:rsidR="00BA5D60" w:rsidRDefault="00BA5D60" w:rsidP="00BA5D60">
      <w:pPr>
        <w:contextualSpacing/>
        <w:jc w:val="center"/>
        <w:rPr>
          <w:rFonts w:cstheme="minorHAnsi"/>
          <w:b/>
          <w:i/>
          <w:spacing w:val="4"/>
        </w:rPr>
      </w:pPr>
      <w:r>
        <w:rPr>
          <w:rFonts w:cstheme="minorHAnsi"/>
          <w:b/>
          <w:i/>
          <w:spacing w:val="4"/>
        </w:rPr>
        <w:t>Για την υλοποίηση της Σύμβασης</w:t>
      </w:r>
    </w:p>
    <w:p w:rsidR="00BA5D60" w:rsidRDefault="00BA5D60" w:rsidP="00BA5D60">
      <w:pPr>
        <w:contextualSpacing/>
        <w:jc w:val="center"/>
        <w:rPr>
          <w:rFonts w:cstheme="minorHAnsi"/>
          <w:b/>
        </w:rPr>
      </w:pPr>
      <w:r>
        <w:rPr>
          <w:rFonts w:cstheme="minorHAnsi"/>
          <w:b/>
        </w:rPr>
        <w:t>……………………………………………………………………………..</w:t>
      </w:r>
    </w:p>
    <w:p w:rsidR="00BA5D60" w:rsidRDefault="00BA5D60" w:rsidP="00BA5D60">
      <w:pPr>
        <w:contextualSpacing/>
        <w:jc w:val="center"/>
        <w:rPr>
          <w:rFonts w:cstheme="minorHAnsi"/>
          <w:b/>
        </w:rPr>
      </w:pPr>
    </w:p>
    <w:p w:rsidR="00BA5D60" w:rsidRDefault="00BA5D60" w:rsidP="00BA5D60">
      <w:pPr>
        <w:ind w:left="1276" w:hanging="1276"/>
        <w:contextualSpacing/>
        <w:rPr>
          <w:rFonts w:cstheme="minorHAnsi"/>
          <w:i/>
          <w:spacing w:val="4"/>
        </w:rPr>
      </w:pPr>
    </w:p>
    <w:p w:rsidR="00BA5D60" w:rsidRDefault="00BA5D60" w:rsidP="00BA5D60">
      <w:pPr>
        <w:ind w:left="1276"/>
        <w:contextualSpacing/>
        <w:rPr>
          <w:rFonts w:cstheme="minorHAnsi"/>
        </w:rPr>
      </w:pPr>
      <w:r>
        <w:rPr>
          <w:rFonts w:cstheme="minorHAnsi"/>
          <w:i/>
          <w:spacing w:val="4"/>
        </w:rPr>
        <w:t>προσφέρουμε τιμή συνολικά</w:t>
      </w:r>
    </w:p>
    <w:p w:rsidR="00BA5D60" w:rsidRDefault="00BA5D60" w:rsidP="00BA5D60">
      <w:pPr>
        <w:ind w:left="1276"/>
        <w:contextualSpacing/>
        <w:rPr>
          <w:rFonts w:cstheme="minorHAnsi"/>
        </w:rPr>
      </w:pPr>
      <w:r>
        <w:rPr>
          <w:rFonts w:cstheme="minorHAnsi"/>
          <w:i/>
          <w:spacing w:val="4"/>
        </w:rPr>
        <w:t>σύμφωνα με τον παρακάτω ΠΙΝΑΚΑ Α:</w:t>
      </w:r>
    </w:p>
    <w:p w:rsidR="00BA5D60" w:rsidRDefault="00BA5D60" w:rsidP="00BA5D60">
      <w:pPr>
        <w:ind w:left="1276"/>
        <w:contextualSpacing/>
        <w:rPr>
          <w:rFonts w:cstheme="minorHAnsi"/>
          <w:i/>
          <w:spacing w:val="4"/>
        </w:rPr>
      </w:pPr>
    </w:p>
    <w:p w:rsidR="00BA5D60" w:rsidRDefault="00BA5D60" w:rsidP="00BA5D60">
      <w:pPr>
        <w:ind w:left="1276"/>
        <w:contextualSpacing/>
        <w:rPr>
          <w:rFonts w:cstheme="minorHAnsi"/>
        </w:rPr>
      </w:pPr>
      <w:r>
        <w:rPr>
          <w:rFonts w:cstheme="minorHAnsi"/>
          <w:i/>
          <w:spacing w:val="4"/>
        </w:rPr>
        <w:t xml:space="preserve"> ……………………………………………………………………………………………………………………..</w:t>
      </w:r>
    </w:p>
    <w:p w:rsidR="00BA5D60" w:rsidRDefault="00BA5D60" w:rsidP="00BA5D60">
      <w:pPr>
        <w:ind w:left="1276"/>
        <w:contextualSpacing/>
        <w:rPr>
          <w:rFonts w:cstheme="minorHAnsi"/>
        </w:rPr>
      </w:pPr>
      <w:r>
        <w:rPr>
          <w:rFonts w:cstheme="minorHAnsi"/>
          <w:i/>
          <w:spacing w:val="4"/>
        </w:rPr>
        <w:t>……………………………………………………………………………………………………………………..</w:t>
      </w:r>
    </w:p>
    <w:p w:rsidR="00BA5D60" w:rsidRDefault="00BA5D60" w:rsidP="00BA5D60">
      <w:pPr>
        <w:contextualSpacing/>
        <w:rPr>
          <w:rFonts w:cstheme="minorHAnsi"/>
        </w:rPr>
      </w:pPr>
      <w:r>
        <w:rPr>
          <w:rFonts w:cstheme="minorHAnsi"/>
          <w:i/>
          <w:spacing w:val="4"/>
        </w:rPr>
        <w:t xml:space="preserve">                        (Τίθεται ολογράφως και αριθμητικώς)</w:t>
      </w:r>
    </w:p>
    <w:p w:rsidR="00BA5D60" w:rsidRDefault="00BA5D60" w:rsidP="00BA5D60">
      <w:pPr>
        <w:contextualSpacing/>
        <w:rPr>
          <w:rFonts w:cstheme="minorHAnsi"/>
          <w:i/>
          <w:spacing w:val="4"/>
        </w:rPr>
      </w:pPr>
    </w:p>
    <w:p w:rsidR="00BA5D60" w:rsidRDefault="00BA5D60" w:rsidP="00BA5D60">
      <w:pPr>
        <w:contextualSpacing/>
        <w:rPr>
          <w:rFonts w:cstheme="minorHAnsi"/>
          <w:b/>
          <w:i/>
          <w:spacing w:val="4"/>
          <w:u w:val="single"/>
        </w:rPr>
      </w:pPr>
    </w:p>
    <w:p w:rsidR="00BA5D60" w:rsidRDefault="00BA5D60" w:rsidP="00BA5D60">
      <w:pPr>
        <w:spacing w:after="120"/>
        <w:contextualSpacing/>
        <w:jc w:val="center"/>
        <w:rPr>
          <w:rFonts w:cstheme="minorHAnsi"/>
        </w:rPr>
      </w:pPr>
      <w:r>
        <w:rPr>
          <w:rFonts w:cstheme="minorHAnsi"/>
          <w:b/>
          <w:spacing w:val="4"/>
          <w:u w:val="single"/>
        </w:rPr>
        <w:t>ΠΙΝΑΚΑΣ  Α</w:t>
      </w:r>
    </w:p>
    <w:p w:rsidR="00BA5D60" w:rsidRDefault="00BA5D60" w:rsidP="00BA5D60">
      <w:pPr>
        <w:spacing w:after="120"/>
        <w:contextualSpacing/>
        <w:rPr>
          <w:rFonts w:cstheme="minorHAnsi"/>
          <w:b/>
          <w:i/>
          <w:spacing w:val="4"/>
        </w:rPr>
      </w:pPr>
    </w:p>
    <w:tbl>
      <w:tblPr>
        <w:tblW w:w="9057" w:type="dxa"/>
        <w:tblInd w:w="1080" w:type="dxa"/>
        <w:tblLook w:val="0000"/>
      </w:tblPr>
      <w:tblGrid>
        <w:gridCol w:w="5714"/>
        <w:gridCol w:w="493"/>
        <w:gridCol w:w="2850"/>
      </w:tblGrid>
      <w:tr w:rsidR="00BA5D60" w:rsidTr="00B2621C">
        <w:trPr>
          <w:trHeight w:val="824"/>
        </w:trPr>
        <w:tc>
          <w:tcPr>
            <w:tcW w:w="5714" w:type="dxa"/>
            <w:shd w:val="clear" w:color="auto" w:fill="auto"/>
            <w:vAlign w:val="center"/>
          </w:tcPr>
          <w:p w:rsidR="00BA5D60" w:rsidRDefault="00BA5D60" w:rsidP="00B2621C">
            <w:pPr>
              <w:numPr>
                <w:ilvl w:val="0"/>
                <w:numId w:val="1"/>
              </w:numPr>
              <w:suppressAutoHyphens/>
              <w:spacing w:after="120" w:line="360" w:lineRule="auto"/>
              <w:ind w:left="273" w:hanging="284"/>
              <w:contextualSpacing/>
              <w:jc w:val="both"/>
              <w:rPr>
                <w:rFonts w:cstheme="minorHAnsi"/>
              </w:rPr>
            </w:pPr>
            <w:r>
              <w:rPr>
                <w:rFonts w:cstheme="minorHAnsi"/>
                <w:spacing w:val="4"/>
              </w:rPr>
              <w:t xml:space="preserve">Συνολική αμοιβή χωρίς Δικαίωμα Προαίρεσης και Φ.Π.Α. </w:t>
            </w:r>
          </w:p>
        </w:tc>
        <w:tc>
          <w:tcPr>
            <w:tcW w:w="493" w:type="dxa"/>
            <w:shd w:val="clear" w:color="auto" w:fill="auto"/>
            <w:vAlign w:val="center"/>
          </w:tcPr>
          <w:p w:rsidR="00BA5D60" w:rsidRDefault="00BA5D60" w:rsidP="00B2621C">
            <w:pPr>
              <w:spacing w:after="120"/>
              <w:contextualSpacing/>
              <w:rPr>
                <w:rFonts w:cstheme="minorHAnsi"/>
              </w:rPr>
            </w:pPr>
            <w:r>
              <w:rPr>
                <w:rFonts w:cstheme="minorHAnsi"/>
                <w:spacing w:val="4"/>
              </w:rPr>
              <w:t>:</w:t>
            </w:r>
          </w:p>
        </w:tc>
        <w:tc>
          <w:tcPr>
            <w:tcW w:w="2850" w:type="dxa"/>
            <w:shd w:val="clear" w:color="auto" w:fill="auto"/>
            <w:vAlign w:val="center"/>
          </w:tcPr>
          <w:p w:rsidR="00BA5D60" w:rsidRDefault="00BA5D60" w:rsidP="00B2621C">
            <w:pPr>
              <w:spacing w:after="120"/>
              <w:ind w:right="175"/>
              <w:contextualSpacing/>
              <w:rPr>
                <w:rFonts w:cstheme="minorHAnsi"/>
              </w:rPr>
            </w:pPr>
            <w:r>
              <w:rPr>
                <w:rFonts w:cstheme="minorHAnsi"/>
                <w:spacing w:val="4"/>
              </w:rPr>
              <w:t>…………………….. €</w:t>
            </w:r>
          </w:p>
        </w:tc>
      </w:tr>
      <w:tr w:rsidR="00BA5D60" w:rsidTr="00B2621C">
        <w:trPr>
          <w:trHeight w:val="848"/>
        </w:trPr>
        <w:tc>
          <w:tcPr>
            <w:tcW w:w="5714" w:type="dxa"/>
            <w:shd w:val="clear" w:color="auto" w:fill="auto"/>
            <w:vAlign w:val="center"/>
          </w:tcPr>
          <w:p w:rsidR="00BA5D60" w:rsidRDefault="00BA5D60" w:rsidP="00B2621C">
            <w:pPr>
              <w:numPr>
                <w:ilvl w:val="0"/>
                <w:numId w:val="1"/>
              </w:numPr>
              <w:suppressAutoHyphens/>
              <w:spacing w:after="120" w:line="360" w:lineRule="auto"/>
              <w:ind w:left="273" w:hanging="284"/>
              <w:contextualSpacing/>
              <w:jc w:val="both"/>
              <w:rPr>
                <w:rFonts w:cstheme="minorHAnsi"/>
              </w:rPr>
            </w:pPr>
            <w:r>
              <w:rPr>
                <w:rFonts w:cstheme="minorHAnsi"/>
                <w:spacing w:val="4"/>
              </w:rPr>
              <w:t xml:space="preserve">Δικαίωμα Προαίρεσης </w:t>
            </w:r>
          </w:p>
        </w:tc>
        <w:tc>
          <w:tcPr>
            <w:tcW w:w="493" w:type="dxa"/>
            <w:shd w:val="clear" w:color="auto" w:fill="auto"/>
            <w:vAlign w:val="center"/>
          </w:tcPr>
          <w:p w:rsidR="00BA5D60" w:rsidRDefault="00BA5D60" w:rsidP="00B2621C">
            <w:pPr>
              <w:spacing w:after="120"/>
              <w:contextualSpacing/>
              <w:rPr>
                <w:rFonts w:cstheme="minorHAnsi"/>
              </w:rPr>
            </w:pPr>
            <w:r>
              <w:rPr>
                <w:rFonts w:cstheme="minorHAnsi"/>
                <w:spacing w:val="4"/>
              </w:rPr>
              <w:t>:</w:t>
            </w:r>
          </w:p>
        </w:tc>
        <w:tc>
          <w:tcPr>
            <w:tcW w:w="2850" w:type="dxa"/>
            <w:shd w:val="clear" w:color="auto" w:fill="auto"/>
            <w:vAlign w:val="center"/>
          </w:tcPr>
          <w:p w:rsidR="00BA5D60" w:rsidRDefault="00BA5D60" w:rsidP="00B2621C">
            <w:pPr>
              <w:spacing w:after="120"/>
              <w:ind w:right="175"/>
              <w:contextualSpacing/>
              <w:rPr>
                <w:rFonts w:cstheme="minorHAnsi"/>
              </w:rPr>
            </w:pPr>
            <w:r>
              <w:rPr>
                <w:rFonts w:cstheme="minorHAnsi"/>
                <w:spacing w:val="4"/>
              </w:rPr>
              <w:t>…………………….. €</w:t>
            </w:r>
          </w:p>
        </w:tc>
      </w:tr>
      <w:tr w:rsidR="00BA5D60" w:rsidTr="00B2621C">
        <w:trPr>
          <w:trHeight w:val="655"/>
        </w:trPr>
        <w:tc>
          <w:tcPr>
            <w:tcW w:w="5714" w:type="dxa"/>
            <w:shd w:val="clear" w:color="auto" w:fill="auto"/>
            <w:vAlign w:val="center"/>
          </w:tcPr>
          <w:p w:rsidR="00BA5D60" w:rsidRDefault="00BA5D60" w:rsidP="00B2621C">
            <w:pPr>
              <w:numPr>
                <w:ilvl w:val="0"/>
                <w:numId w:val="1"/>
              </w:numPr>
              <w:suppressAutoHyphens/>
              <w:spacing w:after="120" w:line="360" w:lineRule="auto"/>
              <w:ind w:left="273" w:hanging="284"/>
              <w:contextualSpacing/>
              <w:jc w:val="both"/>
              <w:rPr>
                <w:rFonts w:cstheme="minorHAnsi"/>
                <w:spacing w:val="4"/>
              </w:rPr>
            </w:pPr>
            <w:r>
              <w:rPr>
                <w:rFonts w:cstheme="minorHAnsi"/>
                <w:spacing w:val="4"/>
              </w:rPr>
              <w:t>Σύνολο (χωρίς Φ.Π.Α.)</w:t>
            </w:r>
          </w:p>
        </w:tc>
        <w:tc>
          <w:tcPr>
            <w:tcW w:w="493" w:type="dxa"/>
            <w:shd w:val="clear" w:color="auto" w:fill="auto"/>
            <w:vAlign w:val="center"/>
          </w:tcPr>
          <w:p w:rsidR="00BA5D60" w:rsidRDefault="00BA5D60" w:rsidP="00B2621C">
            <w:pPr>
              <w:suppressAutoHyphens/>
              <w:spacing w:after="120"/>
              <w:ind w:left="360"/>
              <w:contextualSpacing/>
              <w:rPr>
                <w:rFonts w:cstheme="minorHAnsi"/>
                <w:spacing w:val="4"/>
              </w:rPr>
            </w:pPr>
          </w:p>
        </w:tc>
        <w:tc>
          <w:tcPr>
            <w:tcW w:w="2850" w:type="dxa"/>
            <w:tcBorders>
              <w:top w:val="single" w:sz="4" w:space="0" w:color="000001"/>
            </w:tcBorders>
            <w:shd w:val="clear" w:color="auto" w:fill="auto"/>
            <w:vAlign w:val="center"/>
          </w:tcPr>
          <w:p w:rsidR="00BA5D60" w:rsidRDefault="00BA5D60" w:rsidP="00B2621C">
            <w:pPr>
              <w:suppressAutoHyphens/>
              <w:spacing w:after="120"/>
              <w:contextualSpacing/>
              <w:rPr>
                <w:rFonts w:cstheme="minorHAnsi"/>
                <w:spacing w:val="4"/>
              </w:rPr>
            </w:pPr>
            <w:r>
              <w:rPr>
                <w:rFonts w:cstheme="minorHAnsi"/>
                <w:spacing w:val="4"/>
              </w:rPr>
              <w:t>…………………….. €</w:t>
            </w:r>
          </w:p>
        </w:tc>
      </w:tr>
      <w:tr w:rsidR="00BA5D60" w:rsidTr="00B2621C">
        <w:trPr>
          <w:trHeight w:val="689"/>
        </w:trPr>
        <w:tc>
          <w:tcPr>
            <w:tcW w:w="5714" w:type="dxa"/>
            <w:tcBorders>
              <w:top w:val="single" w:sz="4" w:space="0" w:color="000001"/>
              <w:bottom w:val="single" w:sz="4" w:space="0" w:color="000001"/>
            </w:tcBorders>
            <w:shd w:val="clear" w:color="auto" w:fill="auto"/>
            <w:vAlign w:val="center"/>
          </w:tcPr>
          <w:p w:rsidR="00BA5D60" w:rsidRDefault="00BA5D60" w:rsidP="00B2621C">
            <w:pPr>
              <w:numPr>
                <w:ilvl w:val="0"/>
                <w:numId w:val="1"/>
              </w:numPr>
              <w:suppressAutoHyphens/>
              <w:spacing w:after="120" w:line="360" w:lineRule="auto"/>
              <w:ind w:left="273" w:hanging="284"/>
              <w:contextualSpacing/>
              <w:jc w:val="both"/>
              <w:rPr>
                <w:rFonts w:cstheme="minorHAnsi"/>
              </w:rPr>
            </w:pPr>
            <w:r>
              <w:rPr>
                <w:rFonts w:cstheme="minorHAnsi"/>
                <w:spacing w:val="4"/>
              </w:rPr>
              <w:t>Φ.Π.Α. 24%</w:t>
            </w:r>
          </w:p>
        </w:tc>
        <w:tc>
          <w:tcPr>
            <w:tcW w:w="493" w:type="dxa"/>
            <w:tcBorders>
              <w:top w:val="single" w:sz="4" w:space="0" w:color="000001"/>
              <w:bottom w:val="single" w:sz="4" w:space="0" w:color="000001"/>
            </w:tcBorders>
            <w:shd w:val="clear" w:color="auto" w:fill="auto"/>
            <w:vAlign w:val="center"/>
          </w:tcPr>
          <w:p w:rsidR="00BA5D60" w:rsidRDefault="00BA5D60" w:rsidP="00B2621C">
            <w:pPr>
              <w:spacing w:after="120"/>
              <w:contextualSpacing/>
              <w:rPr>
                <w:rFonts w:cstheme="minorHAnsi"/>
              </w:rPr>
            </w:pPr>
            <w:r>
              <w:rPr>
                <w:rFonts w:cstheme="minorHAnsi"/>
                <w:spacing w:val="4"/>
              </w:rPr>
              <w:t>:</w:t>
            </w:r>
          </w:p>
        </w:tc>
        <w:tc>
          <w:tcPr>
            <w:tcW w:w="2850" w:type="dxa"/>
            <w:tcBorders>
              <w:top w:val="single" w:sz="4" w:space="0" w:color="000001"/>
              <w:bottom w:val="single" w:sz="4" w:space="0" w:color="000001"/>
            </w:tcBorders>
            <w:shd w:val="clear" w:color="auto" w:fill="auto"/>
            <w:vAlign w:val="center"/>
          </w:tcPr>
          <w:p w:rsidR="00BA5D60" w:rsidRDefault="00BA5D60" w:rsidP="00B2621C">
            <w:pPr>
              <w:spacing w:after="120"/>
              <w:ind w:right="175"/>
              <w:contextualSpacing/>
              <w:rPr>
                <w:rFonts w:cstheme="minorHAnsi"/>
              </w:rPr>
            </w:pPr>
            <w:r>
              <w:rPr>
                <w:rFonts w:cstheme="minorHAnsi"/>
                <w:spacing w:val="4"/>
              </w:rPr>
              <w:t>…………………….. €</w:t>
            </w:r>
          </w:p>
        </w:tc>
      </w:tr>
      <w:tr w:rsidR="00BA5D60" w:rsidTr="00B2621C">
        <w:trPr>
          <w:trHeight w:val="722"/>
        </w:trPr>
        <w:tc>
          <w:tcPr>
            <w:tcW w:w="5714" w:type="dxa"/>
            <w:tcBorders>
              <w:top w:val="single" w:sz="4" w:space="0" w:color="000001"/>
            </w:tcBorders>
            <w:shd w:val="clear" w:color="auto" w:fill="auto"/>
            <w:vAlign w:val="center"/>
          </w:tcPr>
          <w:p w:rsidR="00BA5D60" w:rsidRDefault="00BA5D60" w:rsidP="00B2621C">
            <w:pPr>
              <w:spacing w:after="120"/>
              <w:contextualSpacing/>
              <w:rPr>
                <w:rFonts w:cstheme="minorHAnsi"/>
              </w:rPr>
            </w:pPr>
            <w:r>
              <w:rPr>
                <w:rFonts w:cstheme="minorHAnsi"/>
                <w:b/>
                <w:spacing w:val="4"/>
              </w:rPr>
              <w:t>Γενικό Σύνολο</w:t>
            </w:r>
          </w:p>
        </w:tc>
        <w:tc>
          <w:tcPr>
            <w:tcW w:w="493" w:type="dxa"/>
            <w:tcBorders>
              <w:top w:val="single" w:sz="4" w:space="0" w:color="000001"/>
            </w:tcBorders>
            <w:shd w:val="clear" w:color="auto" w:fill="auto"/>
            <w:vAlign w:val="center"/>
          </w:tcPr>
          <w:p w:rsidR="00BA5D60" w:rsidRDefault="00BA5D60" w:rsidP="00B2621C">
            <w:pPr>
              <w:spacing w:after="120"/>
              <w:contextualSpacing/>
              <w:rPr>
                <w:rFonts w:cstheme="minorHAnsi"/>
              </w:rPr>
            </w:pPr>
            <w:r>
              <w:rPr>
                <w:rFonts w:cstheme="minorHAnsi"/>
                <w:spacing w:val="4"/>
                <w:lang w:val="en-US"/>
              </w:rPr>
              <w:t>:</w:t>
            </w:r>
          </w:p>
        </w:tc>
        <w:tc>
          <w:tcPr>
            <w:tcW w:w="2850" w:type="dxa"/>
            <w:tcBorders>
              <w:top w:val="single" w:sz="4" w:space="0" w:color="000001"/>
            </w:tcBorders>
            <w:shd w:val="clear" w:color="auto" w:fill="auto"/>
            <w:vAlign w:val="center"/>
          </w:tcPr>
          <w:p w:rsidR="00BA5D60" w:rsidRDefault="00BA5D60" w:rsidP="00B2621C">
            <w:pPr>
              <w:spacing w:after="120"/>
              <w:ind w:right="175"/>
              <w:contextualSpacing/>
              <w:rPr>
                <w:rFonts w:cstheme="minorHAnsi"/>
              </w:rPr>
            </w:pPr>
            <w:r>
              <w:rPr>
                <w:rFonts w:cstheme="minorHAnsi"/>
                <w:spacing w:val="4"/>
              </w:rPr>
              <w:t xml:space="preserve">…………………….. </w:t>
            </w:r>
            <w:r>
              <w:rPr>
                <w:rFonts w:cstheme="minorHAnsi"/>
                <w:spacing w:val="4"/>
                <w:lang w:val="en-US"/>
              </w:rPr>
              <w:t>€</w:t>
            </w:r>
          </w:p>
        </w:tc>
      </w:tr>
    </w:tbl>
    <w:p w:rsidR="00BA5D60" w:rsidRDefault="00BA5D60" w:rsidP="00BA5D60">
      <w:pPr>
        <w:widowControl w:val="0"/>
        <w:spacing w:after="120"/>
        <w:contextualSpacing/>
        <w:rPr>
          <w:rFonts w:cstheme="minorHAnsi"/>
          <w:highlight w:val="yellow"/>
          <w:lang w:val="en-US"/>
        </w:rPr>
      </w:pPr>
    </w:p>
    <w:p w:rsidR="00BA5D60" w:rsidRDefault="00BA5D60" w:rsidP="00BA5D60">
      <w:pPr>
        <w:contextualSpacing/>
        <w:rPr>
          <w:rFonts w:cstheme="minorHAnsi"/>
        </w:rPr>
      </w:pPr>
    </w:p>
    <w:tbl>
      <w:tblPr>
        <w:tblW w:w="93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3610"/>
        <w:gridCol w:w="1385"/>
        <w:gridCol w:w="1475"/>
        <w:gridCol w:w="1329"/>
        <w:gridCol w:w="1558"/>
      </w:tblGrid>
      <w:tr w:rsidR="00BA5D60" w:rsidTr="00B2621C">
        <w:trPr>
          <w:trHeight w:val="630"/>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b/>
                <w:bCs/>
              </w:rPr>
              <w:lastRenderedPageBreak/>
              <w:t>Περιγραφή</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b/>
                <w:bCs/>
              </w:rPr>
              <w:t>Μονάδα μέτρησης</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b/>
                <w:bCs/>
              </w:rPr>
              <w:t>Ποσότητα</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b/>
                <w:bCs/>
              </w:rPr>
              <w:t>Τιμή Μονάδος</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b/>
                <w:bCs/>
              </w:rPr>
              <w:t>Σύνολο</w:t>
            </w: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iCs/>
              </w:rPr>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iCs/>
              </w:rPr>
            </w:pPr>
            <w:r>
              <w:rPr>
                <w:rFonts w:cstheme="minorHAnsi"/>
                <w:b/>
                <w:bCs/>
                <w:iCs/>
              </w:rPr>
              <w:t>Α. Παροχή Υπηρεσιών</w:t>
            </w: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iCs/>
              </w:rPr>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t>Α1. Υπηρεσίες  Αναβάθμισης</w:t>
            </w:r>
          </w:p>
        </w:tc>
      </w:tr>
      <w:tr w:rsidR="00BA5D60" w:rsidTr="00B2621C">
        <w:trPr>
          <w:trHeight w:val="724"/>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 xml:space="preserve">1. Εργασίες σχεδιασμού και προδιαγραφών νέου συστήματος </w:t>
            </w:r>
            <w:proofErr w:type="spellStart"/>
            <w:r>
              <w:rPr>
                <w:rFonts w:cstheme="minorHAnsi"/>
              </w:rPr>
              <w:t>οδοφωτισμού</w:t>
            </w:r>
            <w:proofErr w:type="spellEnd"/>
            <w:r>
              <w:rPr>
                <w:rFonts w:cstheme="minorHAnsi"/>
              </w:rPr>
              <w:t xml:space="preserve"> βασισμένου σε λαμπτήρες υψηλής ενεργειακής απόδοσης.</w:t>
            </w:r>
          </w:p>
        </w:tc>
        <w:tc>
          <w:tcPr>
            <w:tcW w:w="1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ind w:left="35" w:hanging="79"/>
              <w:jc w:val="center"/>
            </w:pPr>
            <w:r>
              <w:rPr>
                <w:rFonts w:cstheme="minorHAnsi"/>
              </w:rPr>
              <w:t>Τεμάχια Φωτιστικών</w:t>
            </w:r>
          </w:p>
        </w:tc>
        <w:tc>
          <w:tcPr>
            <w:tcW w:w="147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9.025</w:t>
            </w:r>
          </w:p>
        </w:tc>
        <w:tc>
          <w:tcPr>
            <w:tcW w:w="132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409"/>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2. Εγκατάσταση, παραμετροποίηση και λειτουργία συστήματος προληπτικής συντήρησης (</w:t>
            </w:r>
            <w:proofErr w:type="spellStart"/>
            <w:r>
              <w:rPr>
                <w:rFonts w:cstheme="minorHAnsi"/>
              </w:rPr>
              <w:t>Hardware</w:t>
            </w:r>
            <w:proofErr w:type="spellEnd"/>
            <w:r>
              <w:rPr>
                <w:rFonts w:cstheme="minorHAnsi"/>
              </w:rPr>
              <w:t xml:space="preserve">, </w:t>
            </w:r>
            <w:proofErr w:type="spellStart"/>
            <w:r>
              <w:rPr>
                <w:rFonts w:cstheme="minorHAnsi"/>
              </w:rPr>
              <w:t>Software</w:t>
            </w:r>
            <w:proofErr w:type="spellEnd"/>
            <w:r>
              <w:rPr>
                <w:rFonts w:cstheme="minorHAnsi"/>
              </w:rPr>
              <w:t>).</w:t>
            </w: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4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32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p>
        </w:tc>
      </w:tr>
      <w:tr w:rsidR="00BA5D60" w:rsidTr="00B2621C">
        <w:trPr>
          <w:trHeight w:val="406"/>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 xml:space="preserve">3. Εγκατάσταση, παραμετροποίηση και λειτουργία συστήματος ελέγχου του συστήματος </w:t>
            </w:r>
            <w:proofErr w:type="spellStart"/>
            <w:r>
              <w:rPr>
                <w:rFonts w:cstheme="minorHAnsi"/>
              </w:rPr>
              <w:t>οδοφωτισμού</w:t>
            </w:r>
            <w:proofErr w:type="spellEnd"/>
            <w:r>
              <w:rPr>
                <w:rFonts w:cstheme="minorHAnsi"/>
              </w:rPr>
              <w:t xml:space="preserve"> (</w:t>
            </w:r>
            <w:proofErr w:type="spellStart"/>
            <w:r>
              <w:rPr>
                <w:rFonts w:cstheme="minorHAnsi"/>
              </w:rPr>
              <w:t>Hardware</w:t>
            </w:r>
            <w:proofErr w:type="spellEnd"/>
            <w:r>
              <w:rPr>
                <w:rFonts w:cstheme="minorHAnsi"/>
              </w:rPr>
              <w:t xml:space="preserve">, </w:t>
            </w:r>
            <w:proofErr w:type="spellStart"/>
            <w:r>
              <w:rPr>
                <w:rFonts w:cstheme="minorHAnsi"/>
              </w:rPr>
              <w:t>Software</w:t>
            </w:r>
            <w:proofErr w:type="spellEnd"/>
            <w:r>
              <w:rPr>
                <w:rFonts w:cstheme="minorHAnsi"/>
              </w:rPr>
              <w:t>).</w:t>
            </w: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4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32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p>
        </w:tc>
      </w:tr>
      <w:tr w:rsidR="00BA5D60" w:rsidTr="00B2621C">
        <w:trPr>
          <w:trHeight w:val="658"/>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4. Ποιοτικός έλεγχος και εκτέλεση κατάλληλων δοκιμών (</w:t>
            </w:r>
            <w:proofErr w:type="spellStart"/>
            <w:r>
              <w:rPr>
                <w:rFonts w:cstheme="minorHAnsi"/>
              </w:rPr>
              <w:t>testing</w:t>
            </w:r>
            <w:proofErr w:type="spellEnd"/>
            <w:r>
              <w:rPr>
                <w:rFonts w:cstheme="minorHAnsi"/>
              </w:rPr>
              <w:t>) των φωτιστικών υψηλής ενεργειακής απόδοσης και των άλλων υλικών που θα εγκατασταθούν.</w:t>
            </w: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4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32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p>
        </w:tc>
      </w:tr>
      <w:tr w:rsidR="00BA5D60" w:rsidTr="00B2621C">
        <w:trPr>
          <w:trHeight w:val="375"/>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5. Δοκιμαστική λειτουργία του συστήματος για την αριστοποίηση της λειτουργίας του.</w:t>
            </w: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4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32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r>
      <w:tr w:rsidR="00BA5D60" w:rsidTr="00B2621C">
        <w:trPr>
          <w:trHeight w:val="698"/>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6. Υπηρεσίες κατάρτισης αξιοποίησης των δημιουργούμενων υποδομών.</w:t>
            </w: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4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32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r>
      <w:tr w:rsidR="00BA5D60" w:rsidTr="00B2621C">
        <w:trPr>
          <w:trHeight w:val="407"/>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 xml:space="preserve">7. Υπηρεσίες κατάρτισης </w:t>
            </w:r>
            <w:proofErr w:type="spellStart"/>
            <w:r>
              <w:rPr>
                <w:rFonts w:cstheme="minorHAnsi"/>
              </w:rPr>
              <w:t>μελέτηςπεραιτέρω</w:t>
            </w:r>
            <w:proofErr w:type="spellEnd"/>
            <w:r>
              <w:rPr>
                <w:rFonts w:cstheme="minorHAnsi"/>
              </w:rPr>
              <w:t xml:space="preserve"> εξοικονόμησης ενέργειας.</w:t>
            </w: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4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32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p>
        </w:tc>
      </w:tr>
      <w:tr w:rsidR="00BA5D60" w:rsidTr="00B2621C">
        <w:trPr>
          <w:trHeight w:val="315"/>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Σύνολο Υπηρεσιών Αναβάθμισης (CPV: 51110000-6)</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15"/>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b/>
                <w:bCs/>
              </w:rPr>
              <w:t> </w:t>
            </w: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lastRenderedPageBreak/>
              <w:t>Α2. Υπηρεσίες Λειτουργίας και Συντήρησης</w:t>
            </w:r>
          </w:p>
        </w:tc>
      </w:tr>
      <w:tr w:rsidR="00BA5D60" w:rsidTr="00B2621C">
        <w:trPr>
          <w:trHeight w:val="380"/>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Λειτουργία και συντήρηση του συστήματος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Έτη</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1</w:t>
            </w:r>
            <w:r>
              <w:rPr>
                <w:rFonts w:cstheme="minorHAnsi"/>
                <w:lang w:val="en-US"/>
              </w:rPr>
              <w:t>2</w:t>
            </w:r>
            <w:r>
              <w:rPr>
                <w:rFonts w:cstheme="minorHAnsi"/>
              </w:rPr>
              <w:t>,00</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ind w:right="72"/>
              <w:jc w:val="right"/>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t>Α3. Υπηρεσίες Διοίκησης</w:t>
            </w:r>
          </w:p>
        </w:tc>
      </w:tr>
      <w:tr w:rsidR="00BA5D60" w:rsidTr="00B2621C">
        <w:trPr>
          <w:trHeight w:val="600"/>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Διοίκηση έργου</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Κατ’ αποκοπή</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1,00</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15"/>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Μερικό Σύνολο Υπηρεσιών Λειτουργίας &amp; Συντήρησης και Διοίκησης (CPV: 50232100-1)</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15"/>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ΓΕΝΙΚΟ ΣΥΝΟΛΟ ΥΠΗΡΕΣΙΩΝ (Α1), (Α2) &amp; (Α3) (CPV: 51110000-6 &amp; CPV: 50232100-1)</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hRule="exact" w:val="23"/>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rPr>
            </w:pP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rPr>
            </w:pPr>
          </w:p>
        </w:tc>
      </w:tr>
      <w:tr w:rsidR="00BA5D60" w:rsidTr="00B2621C">
        <w:trPr>
          <w:trHeight w:val="630"/>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t>Β. Προμήθεια Φωτιστικών, Λαμπτήρων, Βραχιόνων</w:t>
            </w: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Φωτιστικά και λαμπτήρες υψηλής ενεργειακής απόδοσης που αντικαθιστούν:</w:t>
            </w:r>
          </w:p>
        </w:tc>
      </w:tr>
      <w:tr w:rsidR="00BA5D60" w:rsidTr="00B2621C">
        <w:trPr>
          <w:trHeight w:val="62"/>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1. Υψηλός φωτισμός με 400 W Φωτιστικό (Προβολέας με Βραχίονα). Αντικατάσταση με προβολέα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13</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62"/>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2. Υψηλός φωτισμός με 150 W Φωτιστικό (Προβολέας επί στύλου). Αντικατάσταση με προβολέα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12</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62"/>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r>
              <w:rPr>
                <w:rFonts w:cstheme="minorHAnsi"/>
              </w:rPr>
              <w:t>3. Υψηλός φωτισμός με 250 W Φωτιστικό (Οδικό με Βραχίονα). Αντικατάσταση με φωτιστικό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 xml:space="preserve">Τεμάχιο </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420</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97"/>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4. Υψηλός φωτισμός με 150 W Φωτιστικό (Οδικό με Βραχίονα). Αντικατάσταση με φωτιστικό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206</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780"/>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r>
              <w:rPr>
                <w:rFonts w:cstheme="minorHAnsi"/>
              </w:rPr>
              <w:t>5. Υψηλός φωτισμός με 125 W Φωτιστικό (Οδικό με Βραχίονα). Αντικατάσταση με φωτιστικό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5.035</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93"/>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 xml:space="preserve">6. Υψηλός φωτισμός με 70 W Φωτιστικό (Οδικό με Βραχίονα). </w:t>
            </w:r>
            <w:r>
              <w:rPr>
                <w:rFonts w:cstheme="minorHAnsi"/>
              </w:rPr>
              <w:lastRenderedPageBreak/>
              <w:t>Αντικατάσταση με φωτιστικό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lastRenderedPageBreak/>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6</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568"/>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r>
              <w:rPr>
                <w:rFonts w:cstheme="minorHAnsi"/>
              </w:rPr>
              <w:lastRenderedPageBreak/>
              <w:t>7. Υψηλός φωτισμός με 23 W Φωτιστικό (Οδικό με Βραχίονα). Αντικατάσταση με φωτιστικό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379</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highlight w:val="cy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highlight w:val="cyan"/>
              </w:rPr>
            </w:pPr>
          </w:p>
        </w:tc>
      </w:tr>
      <w:tr w:rsidR="00BA5D60" w:rsidTr="00B2621C">
        <w:trPr>
          <w:trHeight w:val="522"/>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8. Χαμηλός φωτισμός με 150 W Φωτιστικό (Φανάρι). Αντικατάσταση με λαμπτήρα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294</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749"/>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9. Χαμηλός φωτισμός με 125 W Φωτιστικό (Μπάλα - Διακοσμητικό - Φανάρι). Αντικατάσταση με λαμπτήρα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1.352</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707"/>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r>
              <w:rPr>
                <w:rFonts w:cstheme="minorHAnsi"/>
              </w:rPr>
              <w:t>10. Χαμηλός φωτισμός με 70 W Φωτιστικό (Φανάρι - Διακοσμητικό). Αντικατάσταση με λαμπτήρα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23</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highlight w:val="cy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highlight w:val="cyan"/>
              </w:rPr>
            </w:pPr>
          </w:p>
        </w:tc>
      </w:tr>
      <w:tr w:rsidR="00BA5D60" w:rsidTr="00B2621C">
        <w:trPr>
          <w:trHeight w:val="943"/>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11. Χαμηλός φωτισμός με 65 W Φωτιστικό (Μπάλα.) Αντικατάσταση με λαμπτήρα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6</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highlight w:val="cy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highlight w:val="cyan"/>
              </w:rPr>
            </w:pPr>
          </w:p>
        </w:tc>
      </w:tr>
      <w:tr w:rsidR="00BA5D60" w:rsidTr="00B2621C">
        <w:trPr>
          <w:trHeight w:val="467"/>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r>
              <w:rPr>
                <w:rFonts w:cstheme="minorHAnsi"/>
              </w:rPr>
              <w:t>12. Χαμηλός φωτισμός με 23 W Φωτιστικό (Διακοσμητικό - Μπάλα - Φανάρι). Αντικατάσταση με λαμπτήρα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1.233</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467"/>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13. Χαμηλός φωτισμός με 7 W Φωτιστικό (Διακοσμητικό Χελώνα). Αντικατάσταση με λαμπτήρα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46</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467"/>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14. Για την προμήθεια και εγκατάσταση βραχιόνων, σύμφωνα με την Τεχνική Περιγραφή και τις Τεχνικές Προδιαγραφές της παρούσας μελέτης.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r>
      <w:tr w:rsidR="00BA5D60" w:rsidTr="00B2621C">
        <w:trPr>
          <w:trHeight w:val="630"/>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Σύνολο Προμήθειας Φωτιστικών, Λαμπτήρων, Βραχιόνων (CPV : 34991000-0)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15"/>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 </w:t>
            </w: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lastRenderedPageBreak/>
              <w:t>Γ. Προμήθεια&amp; Εγκατάσταση Συστήματος Ελέγχου &amp; Συστήματος Προληπτικής Συντήρησης</w:t>
            </w:r>
          </w:p>
        </w:tc>
      </w:tr>
      <w:tr w:rsidR="00BA5D60" w:rsidTr="00B2621C">
        <w:trPr>
          <w:trHeight w:val="1105"/>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A5D60" w:rsidRDefault="00BA5D60" w:rsidP="00B2621C">
            <w:pPr>
              <w:rPr>
                <w:rFonts w:cstheme="minorHAnsi"/>
              </w:rPr>
            </w:pPr>
            <w:r>
              <w:rPr>
                <w:rFonts w:ascii="Calibri" w:hAnsi="Calibri" w:cstheme="minorHAnsi"/>
              </w:rPr>
              <w:t xml:space="preserve">1. Υλικά και </w:t>
            </w:r>
            <w:r>
              <w:rPr>
                <w:rFonts w:ascii="Calibri" w:hAnsi="Calibri" w:cstheme="minorHAnsi"/>
                <w:lang w:val="en-US"/>
              </w:rPr>
              <w:t>S</w:t>
            </w:r>
            <w:proofErr w:type="spellStart"/>
            <w:r>
              <w:rPr>
                <w:rFonts w:ascii="Calibri" w:hAnsi="Calibri" w:cstheme="minorHAnsi"/>
              </w:rPr>
              <w:t>oftware</w:t>
            </w:r>
            <w:proofErr w:type="spellEnd"/>
            <w:r>
              <w:rPr>
                <w:rFonts w:ascii="Calibri" w:hAnsi="Calibri" w:cstheme="minorHAnsi"/>
              </w:rPr>
              <w:t xml:space="preserve"> για τη δημιουργία ασύρματου δικτύου, κεντρικού συστήματος ελέγχου και ελέγχου κατανάλωσης  ενέργειας.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r>
              <w:rPr>
                <w:rFonts w:ascii="Calibri" w:hAnsi="Calibri"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highlight w:val="yellow"/>
              </w:rPr>
            </w:pPr>
            <w:r>
              <w:rPr>
                <w:rFonts w:cstheme="minorHAnsi"/>
              </w:rPr>
              <w:t>6.071</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highlight w:val="yellow"/>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rFonts w:cstheme="minorHAnsi"/>
              </w:rPr>
            </w:pPr>
          </w:p>
        </w:tc>
      </w:tr>
      <w:tr w:rsidR="00BA5D60" w:rsidTr="00B2621C">
        <w:trPr>
          <w:trHeight w:val="694"/>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2. Εξοπλισμός (</w:t>
            </w:r>
            <w:proofErr w:type="spellStart"/>
            <w:r>
              <w:rPr>
                <w:rFonts w:cstheme="minorHAnsi"/>
              </w:rPr>
              <w:t>Hardware</w:t>
            </w:r>
            <w:proofErr w:type="spellEnd"/>
            <w:r>
              <w:rPr>
                <w:rFonts w:cstheme="minorHAnsi"/>
              </w:rPr>
              <w:t>) και Λογισμικό (</w:t>
            </w:r>
            <w:r>
              <w:rPr>
                <w:rFonts w:cstheme="minorHAnsi"/>
                <w:lang w:val="en-US"/>
              </w:rPr>
              <w:t>S</w:t>
            </w:r>
            <w:proofErr w:type="spellStart"/>
            <w:r>
              <w:rPr>
                <w:rFonts w:cstheme="minorHAnsi"/>
              </w:rPr>
              <w:t>oftware</w:t>
            </w:r>
            <w:proofErr w:type="spellEnd"/>
            <w:r>
              <w:rPr>
                <w:rFonts w:cstheme="minorHAnsi"/>
              </w:rPr>
              <w:t xml:space="preserve">) για τη δημιουργία ασύρματου δικτύου, </w:t>
            </w:r>
            <w:proofErr w:type="spellStart"/>
            <w:r>
              <w:rPr>
                <w:rFonts w:cstheme="minorHAnsi"/>
                <w:lang w:val="en-US"/>
              </w:rPr>
              <w:t>Wi</w:t>
            </w:r>
            <w:proofErr w:type="spellEnd"/>
            <w:r>
              <w:rPr>
                <w:rFonts w:cstheme="minorHAnsi"/>
              </w:rPr>
              <w:t>-</w:t>
            </w:r>
            <w:proofErr w:type="spellStart"/>
            <w:r>
              <w:rPr>
                <w:rFonts w:cstheme="minorHAnsi"/>
                <w:lang w:val="en-US"/>
              </w:rPr>
              <w:t>Fi</w:t>
            </w:r>
            <w:proofErr w:type="spellEnd"/>
            <w:r>
              <w:rPr>
                <w:rFonts w:cstheme="minorHAnsi"/>
              </w:rPr>
              <w:t>.</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r>
              <w:rPr>
                <w:rFonts w:cstheme="minorHAnsi"/>
                <w:lang w:val="en-US"/>
              </w:rPr>
              <w:t>7</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rFonts w:cstheme="minorHAnsi"/>
                <w:lang w:val="en-US"/>
              </w:rPr>
            </w:pPr>
          </w:p>
        </w:tc>
      </w:tr>
      <w:tr w:rsidR="00BA5D60" w:rsidTr="00B2621C">
        <w:trPr>
          <w:trHeight w:val="694"/>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3. Εξοπλισμός (</w:t>
            </w:r>
            <w:proofErr w:type="spellStart"/>
            <w:r>
              <w:rPr>
                <w:rFonts w:cstheme="minorHAnsi"/>
              </w:rPr>
              <w:t>Hardware</w:t>
            </w:r>
            <w:proofErr w:type="spellEnd"/>
            <w:r>
              <w:rPr>
                <w:rFonts w:cstheme="minorHAnsi"/>
              </w:rPr>
              <w:t>) και Λογισμικό (</w:t>
            </w:r>
            <w:r>
              <w:rPr>
                <w:rFonts w:cstheme="minorHAnsi"/>
                <w:lang w:val="en-US"/>
              </w:rPr>
              <w:t>S</w:t>
            </w:r>
            <w:proofErr w:type="spellStart"/>
            <w:r>
              <w:rPr>
                <w:rFonts w:cstheme="minorHAnsi"/>
              </w:rPr>
              <w:t>oftware</w:t>
            </w:r>
            <w:proofErr w:type="spellEnd"/>
            <w:r>
              <w:rPr>
                <w:rFonts w:cstheme="minorHAnsi"/>
              </w:rPr>
              <w:t>) για τη δημιουργία συστήματος ανίχνευσης πυρκαγιών.</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r>
              <w:rPr>
                <w:rFonts w:cstheme="minorHAnsi"/>
              </w:rPr>
              <w:t>1</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rFonts w:cstheme="minorHAnsi"/>
              </w:rPr>
            </w:pPr>
          </w:p>
        </w:tc>
      </w:tr>
      <w:tr w:rsidR="00BA5D60" w:rsidTr="00B2621C">
        <w:trPr>
          <w:trHeight w:val="694"/>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r>
              <w:rPr>
                <w:rFonts w:cstheme="minorHAnsi"/>
              </w:rPr>
              <w:t>4. Εξοπλισμός (</w:t>
            </w:r>
            <w:proofErr w:type="spellStart"/>
            <w:r>
              <w:rPr>
                <w:rFonts w:cstheme="minorHAnsi"/>
              </w:rPr>
              <w:t>Hardware</w:t>
            </w:r>
            <w:proofErr w:type="spellEnd"/>
            <w:r>
              <w:rPr>
                <w:rFonts w:cstheme="minorHAnsi"/>
              </w:rPr>
              <w:t>) και Λογισμικό (</w:t>
            </w:r>
            <w:r>
              <w:rPr>
                <w:rFonts w:cstheme="minorHAnsi"/>
                <w:lang w:val="en-US"/>
              </w:rPr>
              <w:t>S</w:t>
            </w:r>
            <w:proofErr w:type="spellStart"/>
            <w:r>
              <w:rPr>
                <w:rFonts w:cstheme="minorHAnsi"/>
              </w:rPr>
              <w:t>oftware</w:t>
            </w:r>
            <w:proofErr w:type="spellEnd"/>
            <w:r>
              <w:rPr>
                <w:rFonts w:cstheme="minorHAnsi"/>
              </w:rPr>
              <w:t>) για τη δημιουργία συστήματος αντιμετώπισης πλημμυρών.</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r>
              <w:rPr>
                <w:rFonts w:cstheme="minorHAnsi"/>
              </w:rPr>
              <w:t>1</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rFonts w:cstheme="minorHAnsi"/>
              </w:rPr>
            </w:pPr>
          </w:p>
        </w:tc>
      </w:tr>
      <w:tr w:rsidR="00BA5D60" w:rsidTr="00B2621C">
        <w:trPr>
          <w:trHeight w:val="694"/>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rPr>
            </w:pPr>
            <w:r>
              <w:rPr>
                <w:rFonts w:cstheme="minorHAnsi"/>
              </w:rPr>
              <w:t>5. Εξοπλισμός (</w:t>
            </w:r>
            <w:proofErr w:type="spellStart"/>
            <w:r>
              <w:rPr>
                <w:rFonts w:cstheme="minorHAnsi"/>
              </w:rPr>
              <w:t>Hardware</w:t>
            </w:r>
            <w:proofErr w:type="spellEnd"/>
            <w:r>
              <w:rPr>
                <w:rFonts w:cstheme="minorHAnsi"/>
              </w:rPr>
              <w:t>) και Λογισμικό (</w:t>
            </w:r>
            <w:r>
              <w:rPr>
                <w:rFonts w:cstheme="minorHAnsi"/>
                <w:lang w:val="en-US"/>
              </w:rPr>
              <w:t>S</w:t>
            </w:r>
            <w:proofErr w:type="spellStart"/>
            <w:r>
              <w:rPr>
                <w:rFonts w:cstheme="minorHAnsi"/>
              </w:rPr>
              <w:t>oftware</w:t>
            </w:r>
            <w:proofErr w:type="spellEnd"/>
            <w:r>
              <w:rPr>
                <w:rFonts w:cstheme="minorHAnsi"/>
              </w:rPr>
              <w:t xml:space="preserve">) για τη δημιουργία συστήματος ελέγχου ενεργειακών καταναλώσεων.  </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cstheme="minorHAnsi"/>
              </w:rPr>
            </w:pPr>
            <w:r>
              <w:rPr>
                <w:rFonts w:cstheme="minorHAnsi"/>
              </w:rPr>
              <w:t>Τεμάχιο</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ascii="Calibri" w:hAnsi="Calibri"/>
              </w:rPr>
            </w:pPr>
            <w:r>
              <w:rPr>
                <w:rFonts w:cstheme="minorHAnsi"/>
              </w:rPr>
              <w:t>2</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rPr>
                <w:rFonts w:ascii="Calibri" w:hAnsi="Calibri"/>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rFonts w:ascii="Calibri" w:hAnsi="Calibri"/>
              </w:rPr>
            </w:pPr>
          </w:p>
        </w:tc>
      </w:tr>
      <w:tr w:rsidR="00BA5D60" w:rsidTr="00B2621C">
        <w:trPr>
          <w:trHeight w:val="694"/>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6. Εξοπλισμός (</w:t>
            </w:r>
            <w:proofErr w:type="spellStart"/>
            <w:r>
              <w:rPr>
                <w:rFonts w:cstheme="minorHAnsi"/>
              </w:rPr>
              <w:t>Hardware</w:t>
            </w:r>
            <w:proofErr w:type="spellEnd"/>
            <w:r>
              <w:rPr>
                <w:rFonts w:cstheme="minorHAnsi"/>
              </w:rPr>
              <w:t>) και Λογισμικό (</w:t>
            </w:r>
            <w:r>
              <w:rPr>
                <w:rFonts w:cstheme="minorHAnsi"/>
                <w:lang w:val="en-US"/>
              </w:rPr>
              <w:t>S</w:t>
            </w:r>
            <w:proofErr w:type="spellStart"/>
            <w:r>
              <w:rPr>
                <w:rFonts w:cstheme="minorHAnsi"/>
              </w:rPr>
              <w:t>oftware</w:t>
            </w:r>
            <w:proofErr w:type="spellEnd"/>
            <w:r>
              <w:rPr>
                <w:rFonts w:cstheme="minorHAnsi"/>
              </w:rPr>
              <w:t>) του συστήματος συντήρησης φωτιστικών σωμάτων υψηλής ενεργειακής απόδοσης.</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Κατ’ αποκοπή</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1</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429"/>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Σύνολο Προμήθειας &amp; Εγκατάστασης Συστήματος Ελέγχου &amp;Συστήματος Προληπτικής Συντήρησης (</w:t>
            </w:r>
            <w:r>
              <w:rPr>
                <w:rFonts w:cstheme="minorHAnsi"/>
                <w:b/>
                <w:bCs/>
                <w:lang w:val="en-US"/>
              </w:rPr>
              <w:t>CPV</w:t>
            </w:r>
            <w:r>
              <w:rPr>
                <w:rFonts w:cstheme="minorHAnsi"/>
                <w:b/>
                <w:bCs/>
              </w:rPr>
              <w:t xml:space="preserve"> : 32441200-8.)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right"/>
            </w:pPr>
          </w:p>
        </w:tc>
      </w:tr>
      <w:tr w:rsidR="00BA5D60" w:rsidTr="00B2621C">
        <w:trPr>
          <w:trHeight w:val="153"/>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Γενικό Σύνολο Προμήθειας Υλικών (Β) &amp; (Γ) (</w:t>
            </w:r>
            <w:r>
              <w:rPr>
                <w:rFonts w:cstheme="minorHAnsi"/>
                <w:b/>
                <w:bCs/>
                <w:lang w:val="en-US"/>
              </w:rPr>
              <w:t>CPV</w:t>
            </w:r>
            <w:r>
              <w:rPr>
                <w:rFonts w:cstheme="minorHAnsi"/>
                <w:b/>
                <w:bCs/>
              </w:rPr>
              <w:t>: 34991000-0, 32441200-8)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right"/>
            </w:pPr>
          </w:p>
        </w:tc>
      </w:tr>
      <w:tr w:rsidR="00BA5D60" w:rsidTr="00B2621C">
        <w:trPr>
          <w:trHeight w:val="630"/>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iCs/>
              </w:rPr>
            </w:pPr>
            <w:r>
              <w:rPr>
                <w:rFonts w:cstheme="minorHAnsi"/>
                <w:b/>
                <w:bCs/>
                <w:iCs/>
              </w:rPr>
              <w:t>Δ. Υπηρεσίες Εγκατάστασης</w:t>
            </w: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rPr>
                <w:rFonts w:cstheme="minorHAnsi"/>
                <w:b/>
                <w:bCs/>
                <w:iCs/>
              </w:rPr>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t>Δ1. Υπηρεσίες Εγκατάστασης Φωτιστικών και Λαμπτήρων</w:t>
            </w:r>
          </w:p>
        </w:tc>
      </w:tr>
      <w:tr w:rsidR="00BA5D60" w:rsidTr="00B2621C">
        <w:trPr>
          <w:trHeight w:val="213"/>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1. Εγκατάσταση φωτιστικών</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Τεμάχια</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center"/>
            </w:pPr>
            <w:r>
              <w:rPr>
                <w:rFonts w:ascii="Calibri" w:hAnsi="Calibri"/>
              </w:rPr>
              <w:t>6.071</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right"/>
            </w:pPr>
          </w:p>
        </w:tc>
      </w:tr>
      <w:tr w:rsidR="00BA5D60" w:rsidTr="00B2621C">
        <w:trPr>
          <w:trHeight w:val="123"/>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2. Εγκατάσταση λαμπτήρων</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Τεμάχια</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center"/>
            </w:pPr>
            <w:r>
              <w:rPr>
                <w:rFonts w:ascii="Calibri" w:hAnsi="Calibri"/>
              </w:rPr>
              <w:t>2.954</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right"/>
            </w:pPr>
          </w:p>
        </w:tc>
      </w:tr>
      <w:tr w:rsidR="00BA5D60" w:rsidTr="00B2621C">
        <w:trPr>
          <w:trHeight w:val="300"/>
          <w:jc w:val="center"/>
        </w:trPr>
        <w:tc>
          <w:tcPr>
            <w:tcW w:w="9357"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iCs/>
              </w:rPr>
              <w:lastRenderedPageBreak/>
              <w:t>Δ2. Υπηρεσίες εγκατάστασης υλικών</w:t>
            </w:r>
          </w:p>
        </w:tc>
      </w:tr>
      <w:tr w:rsidR="00BA5D60" w:rsidTr="00B2621C">
        <w:trPr>
          <w:trHeight w:val="265"/>
          <w:jc w:val="center"/>
        </w:trPr>
        <w:tc>
          <w:tcPr>
            <w:tcW w:w="36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rPr>
              <w:t xml:space="preserve">3.Εγκατάσταση υλικών του συστήματος ελέγχου </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cstheme="minorHAnsi"/>
              </w:rPr>
              <w:t>Τεμάχια</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r>
              <w:rPr>
                <w:rFonts w:ascii="Calibri" w:hAnsi="Calibri"/>
              </w:rPr>
              <w:t>9.025</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315"/>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r>
              <w:rPr>
                <w:rFonts w:cstheme="minorHAnsi"/>
                <w:b/>
                <w:bCs/>
              </w:rPr>
              <w:t>Γενικό Σύνολο Υπηρεσιών Εγκατάστασης (Δ1) &amp; (Δ2) (CPV : 51110000-6)</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A5D60" w:rsidRDefault="00BA5D60" w:rsidP="00B2621C">
            <w:pPr>
              <w:jc w:val="right"/>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r>
              <w:rPr>
                <w:rFonts w:cstheme="minorHAnsi"/>
                <w:bCs/>
              </w:rPr>
              <w:t>Σύνολο (Α1 - Δ2)</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tabs>
                <w:tab w:val="left" w:pos="0"/>
                <w:tab w:val="left" w:pos="838"/>
              </w:tabs>
              <w:jc w:val="right"/>
            </w:pPr>
            <w:r>
              <w:t>ΦΠΑ 24%</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pStyle w:val="33"/>
              <w:spacing w:line="240" w:lineRule="auto"/>
              <w:jc w:val="right"/>
              <w:rPr>
                <w:rFonts w:asciiTheme="minorHAnsi" w:hAnsiTheme="minorHAnsi"/>
                <w:sz w:val="22"/>
                <w:szCs w:val="22"/>
              </w:rPr>
            </w:pPr>
            <w:r>
              <w:rPr>
                <w:rFonts w:asciiTheme="minorHAnsi" w:hAnsiTheme="minorHAnsi"/>
                <w:sz w:val="22"/>
                <w:szCs w:val="22"/>
              </w:rPr>
              <w:t>Γενικό   Σύνολο (Α1 - Δ2)</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bCs/>
              </w:rPr>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r>
              <w:rPr>
                <w:rFonts w:cstheme="minorHAnsi"/>
                <w:b/>
                <w:bCs/>
              </w:rPr>
              <w:t>Δικαίωμα Προαίρεσης (50%)</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bCs/>
              </w:rPr>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r>
              <w:rPr>
                <w:rFonts w:cstheme="minorHAnsi"/>
                <w:b/>
                <w:bCs/>
              </w:rPr>
              <w:t>ΦΠΑ (24%)</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bCs/>
              </w:rPr>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r>
              <w:rPr>
                <w:rFonts w:cstheme="minorHAnsi"/>
                <w:b/>
                <w:bCs/>
              </w:rPr>
              <w:t xml:space="preserve">Σύνολο Δικαιώματος Προαίρεσης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bCs/>
              </w:rPr>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rFonts w:cstheme="minorHAnsi"/>
                <w:b/>
                <w:bCs/>
              </w:rPr>
            </w:pPr>
            <w:r>
              <w:rPr>
                <w:rFonts w:cstheme="minorHAnsi"/>
                <w:b/>
                <w:bCs/>
              </w:rPr>
              <w:t xml:space="preserve">ΣΥΝΟΛΟ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bCs/>
              </w:rPr>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rPr>
            </w:pPr>
            <w:r>
              <w:rPr>
                <w:b/>
              </w:rPr>
              <w:t xml:space="preserve">ΣΥΝΟΛΟ ΦΠΑ 24%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bCs/>
              </w:rPr>
            </w:pPr>
          </w:p>
        </w:tc>
      </w:tr>
      <w:tr w:rsidR="00BA5D60" w:rsidTr="00B2621C">
        <w:trPr>
          <w:trHeight w:val="454"/>
          <w:jc w:val="center"/>
        </w:trPr>
        <w:tc>
          <w:tcPr>
            <w:tcW w:w="780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rPr>
                <w:b/>
              </w:rPr>
            </w:pPr>
            <w:r>
              <w:rPr>
                <w:rFonts w:cstheme="minorHAnsi"/>
                <w:b/>
                <w:bCs/>
              </w:rPr>
              <w:t>ΤΕΛΙΚΟΣ ΠΡΟΫΠΟΛΟΓΙΣΜΟΣ</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A5D60" w:rsidRDefault="00BA5D60" w:rsidP="00B2621C">
            <w:pPr>
              <w:jc w:val="right"/>
            </w:pPr>
          </w:p>
        </w:tc>
      </w:tr>
    </w:tbl>
    <w:p w:rsidR="00BA5D60" w:rsidRDefault="00BA5D60" w:rsidP="00BA5D60">
      <w:pPr>
        <w:ind w:left="284" w:right="980"/>
        <w:jc w:val="center"/>
        <w:rPr>
          <w:rFonts w:cstheme="minorHAnsi"/>
          <w:b/>
        </w:rPr>
      </w:pPr>
    </w:p>
    <w:p w:rsidR="00BA5D60" w:rsidRDefault="00BA5D60" w:rsidP="00BA5D60">
      <w:pPr>
        <w:ind w:left="284" w:right="980"/>
        <w:jc w:val="center"/>
        <w:rPr>
          <w:rFonts w:cstheme="minorHAnsi"/>
        </w:rPr>
      </w:pPr>
      <w:r>
        <w:rPr>
          <w:rFonts w:cstheme="minorHAnsi"/>
          <w:b/>
        </w:rPr>
        <w:t>ΠΙΝΑΚΑΣ Β</w:t>
      </w:r>
    </w:p>
    <w:p w:rsidR="00BA5D60" w:rsidRDefault="00BA5D60" w:rsidP="00BA5D60">
      <w:pPr>
        <w:ind w:left="284" w:right="980"/>
        <w:jc w:val="center"/>
        <w:rPr>
          <w:rFonts w:cstheme="minorHAnsi"/>
        </w:rPr>
      </w:pPr>
    </w:p>
    <w:p w:rsidR="00BA5D60" w:rsidRDefault="00BA5D60" w:rsidP="00BA5D60">
      <w:pPr>
        <w:ind w:left="284" w:right="980"/>
        <w:jc w:val="center"/>
        <w:rPr>
          <w:rFonts w:cstheme="minorHAnsi"/>
        </w:rPr>
      </w:pPr>
      <w:r>
        <w:rPr>
          <w:rFonts w:cstheme="minorHAnsi"/>
        </w:rPr>
        <w:t>Εγγυημένη ετήσια κατανάλωση ενέργειας ………………………………………………………………………</w:t>
      </w:r>
      <w:r>
        <w:rPr>
          <w:rFonts w:cstheme="minorHAnsi"/>
          <w:lang w:val="en-US"/>
        </w:rPr>
        <w:t>kWh</w:t>
      </w:r>
      <w:r>
        <w:rPr>
          <w:rFonts w:cstheme="minorHAnsi"/>
        </w:rPr>
        <w:t>.</w:t>
      </w:r>
    </w:p>
    <w:p w:rsidR="00BA5D60" w:rsidRDefault="00BA5D60" w:rsidP="00BA5D60">
      <w:pPr>
        <w:ind w:left="284" w:right="980"/>
        <w:jc w:val="center"/>
        <w:rPr>
          <w:rFonts w:cstheme="minorHAnsi"/>
        </w:rPr>
      </w:pPr>
    </w:p>
    <w:p w:rsidR="00BA5D60" w:rsidRDefault="00BA5D60" w:rsidP="00BA5D60">
      <w:pPr>
        <w:ind w:left="284" w:right="980"/>
        <w:jc w:val="center"/>
        <w:rPr>
          <w:rFonts w:cstheme="minorHAnsi"/>
        </w:rPr>
      </w:pPr>
    </w:p>
    <w:p w:rsidR="00BA5D60" w:rsidRPr="00065476" w:rsidRDefault="00BA5D60" w:rsidP="00BA5D60">
      <w:pPr>
        <w:ind w:left="284" w:right="980"/>
        <w:jc w:val="center"/>
        <w:rPr>
          <w:rFonts w:cstheme="minorHAnsi"/>
        </w:rPr>
      </w:pPr>
      <w:r>
        <w:t>ΣΦΡΑΓΙΔΑ &amp; ΥΠΟΓΡΑΦΗ</w:t>
      </w:r>
    </w:p>
    <w:p w:rsidR="00000000" w:rsidRDefault="00BA5D60"/>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4E6"/>
    <w:multiLevelType w:val="multilevel"/>
    <w:tmpl w:val="1CEAC7D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20"/>
  <w:characterSpacingControl w:val="doNotCompress"/>
  <w:compat>
    <w:useFELayout/>
  </w:compat>
  <w:rsids>
    <w:rsidRoot w:val="00BA5D60"/>
    <w:rsid w:val="00BA5D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1"/>
    <w:unhideWhenUsed/>
    <w:qFormat/>
    <w:rsid w:val="00BA5D6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BA5D60"/>
    <w:rPr>
      <w:rFonts w:asciiTheme="majorHAnsi" w:eastAsiaTheme="majorEastAsia" w:hAnsiTheme="majorHAnsi" w:cstheme="majorBidi"/>
      <w:b/>
      <w:bCs/>
      <w:color w:val="4F81BD" w:themeColor="accent1"/>
      <w:sz w:val="26"/>
      <w:szCs w:val="26"/>
    </w:rPr>
  </w:style>
  <w:style w:type="character" w:customStyle="1" w:styleId="2Char1">
    <w:name w:val="Επικεφαλίδα 2 Char1"/>
    <w:basedOn w:val="a0"/>
    <w:link w:val="2"/>
    <w:qFormat/>
    <w:rsid w:val="00BA5D60"/>
    <w:rPr>
      <w:rFonts w:asciiTheme="majorHAnsi" w:eastAsiaTheme="majorEastAsia" w:hAnsiTheme="majorHAnsi" w:cstheme="majorBidi"/>
      <w:color w:val="365F91" w:themeColor="accent1" w:themeShade="BF"/>
      <w:sz w:val="26"/>
      <w:szCs w:val="26"/>
    </w:rPr>
  </w:style>
  <w:style w:type="paragraph" w:customStyle="1" w:styleId="20">
    <w:name w:val="Σώμα κειμένου (2)"/>
    <w:basedOn w:val="a"/>
    <w:qFormat/>
    <w:rsid w:val="00BA5D60"/>
    <w:pPr>
      <w:shd w:val="clear" w:color="auto" w:fill="FFFFFF"/>
      <w:spacing w:after="0" w:line="240" w:lineRule="auto"/>
      <w:ind w:hanging="520"/>
    </w:pPr>
    <w:rPr>
      <w:rFonts w:ascii="Calibri" w:eastAsia="Calibri" w:hAnsi="Calibri" w:cs="Calibri"/>
      <w:color w:val="000000"/>
      <w:sz w:val="21"/>
      <w:szCs w:val="21"/>
      <w:lang w:bidi="el-GR"/>
    </w:rPr>
  </w:style>
  <w:style w:type="paragraph" w:customStyle="1" w:styleId="33">
    <w:name w:val="Επικεφαλίδα #3 (3)"/>
    <w:basedOn w:val="a"/>
    <w:qFormat/>
    <w:rsid w:val="00BA5D60"/>
    <w:pPr>
      <w:shd w:val="clear" w:color="auto" w:fill="FFFFFF"/>
      <w:spacing w:after="0" w:line="293" w:lineRule="exact"/>
      <w:ind w:hanging="760"/>
      <w:jc w:val="both"/>
      <w:outlineLvl w:val="2"/>
    </w:pPr>
    <w:rPr>
      <w:rFonts w:ascii="Calibri" w:eastAsia="Calibri" w:hAnsi="Calibri" w:cs="Calibri"/>
      <w:color w:val="000000"/>
      <w:sz w:val="24"/>
      <w:szCs w:val="24"/>
      <w:lang w:bidi="el-GR"/>
    </w:rPr>
  </w:style>
  <w:style w:type="character" w:customStyle="1" w:styleId="1">
    <w:name w:val="Επικεφαλίδα #1"/>
    <w:basedOn w:val="a0"/>
    <w:qFormat/>
    <w:rsid w:val="00BA5D60"/>
    <w:rPr>
      <w:rFonts w:ascii="Calibri" w:eastAsia="Calibri" w:hAnsi="Calibri" w:cs="Calibri"/>
      <w:b/>
      <w:bCs/>
      <w:i w:val="0"/>
      <w:iCs w:val="0"/>
      <w:caps w:val="0"/>
      <w:smallCaps w:val="0"/>
      <w:strike w:val="0"/>
      <w:dstrike w:val="0"/>
      <w:color w:val="FF0000"/>
      <w:spacing w:val="0"/>
      <w:w w:val="100"/>
      <w:sz w:val="26"/>
      <w:szCs w:val="26"/>
      <w:u w:val="none"/>
      <w:lang w:val="el-GR"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936</Words>
  <Characters>5057</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2022-04-07T10:51:00Z</dcterms:created>
  <dcterms:modified xsi:type="dcterms:W3CDTF">2022-04-07T10:52:00Z</dcterms:modified>
</cp:coreProperties>
</file>